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73C9" w14:textId="7EDD6514" w:rsidR="00432808" w:rsidRPr="00DC34BB" w:rsidRDefault="00432808" w:rsidP="0005280E">
      <w:pPr>
        <w:pStyle w:val="Title"/>
      </w:pPr>
    </w:p>
    <w:p w14:paraId="0E7BA3F5" w14:textId="384DB2DD" w:rsidR="0005280E" w:rsidRPr="00DC34BB" w:rsidRDefault="0005280E" w:rsidP="0005280E"/>
    <w:p w14:paraId="17D39F5B" w14:textId="2C951C15" w:rsidR="0005280E" w:rsidRPr="00DC34BB" w:rsidRDefault="0005280E" w:rsidP="0005280E"/>
    <w:p w14:paraId="19176A3F" w14:textId="3253C0F7" w:rsidR="0005280E" w:rsidRPr="00DC34BB" w:rsidRDefault="0005280E" w:rsidP="0005280E"/>
    <w:p w14:paraId="521E818C" w14:textId="775CAC13" w:rsidR="0005280E" w:rsidRPr="00DC34BB" w:rsidRDefault="0005280E" w:rsidP="0005280E"/>
    <w:p w14:paraId="39425B66" w14:textId="6E9945D8" w:rsidR="0005280E" w:rsidRPr="00DC34BB" w:rsidRDefault="000A35CC" w:rsidP="0005280E">
      <w:pPr>
        <w:pStyle w:val="Title"/>
      </w:pPr>
      <w:commentRangeStart w:id="0"/>
      <w:r w:rsidRPr="00DC34BB">
        <w:t xml:space="preserve">Waste </w:t>
      </w:r>
      <w:r w:rsidR="0005280E" w:rsidRPr="00DC34BB">
        <w:t xml:space="preserve">Management Policy </w:t>
      </w:r>
      <w:commentRangeEnd w:id="0"/>
      <w:r w:rsidR="00CD7088" w:rsidRPr="00DC34BB">
        <w:rPr>
          <w:rStyle w:val="CommentReference"/>
          <w:rFonts w:eastAsiaTheme="minorHAnsi" w:cstheme="minorBidi"/>
          <w:b w:val="0"/>
          <w:spacing w:val="0"/>
          <w:kern w:val="0"/>
        </w:rPr>
        <w:commentReference w:id="0"/>
      </w:r>
      <w:r w:rsidR="0005280E" w:rsidRPr="00DC34BB">
        <w:t>(DRAFT)</w:t>
      </w:r>
    </w:p>
    <w:tbl>
      <w:tblPr>
        <w:tblW w:w="5000" w:type="pct"/>
        <w:jc w:val="center"/>
        <w:tblLook w:val="00A0" w:firstRow="1" w:lastRow="0" w:firstColumn="1" w:lastColumn="0" w:noHBand="0" w:noVBand="0"/>
      </w:tblPr>
      <w:tblGrid>
        <w:gridCol w:w="9360"/>
      </w:tblGrid>
      <w:tr w:rsidR="00891056" w:rsidRPr="00DC34BB" w14:paraId="4C467FBC" w14:textId="77777777" w:rsidTr="00922948">
        <w:trPr>
          <w:trHeight w:val="720"/>
          <w:jc w:val="center"/>
        </w:trPr>
        <w:tc>
          <w:tcPr>
            <w:tcW w:w="5000" w:type="pct"/>
            <w:tcBorders>
              <w:top w:val="single" w:sz="4" w:space="0" w:color="4F81BD"/>
            </w:tcBorders>
            <w:vAlign w:val="center"/>
          </w:tcPr>
          <w:p w14:paraId="4E772801" w14:textId="77777777" w:rsidR="00891056" w:rsidRPr="00DC34BB" w:rsidRDefault="00891056" w:rsidP="00922948">
            <w:pPr>
              <w:pStyle w:val="NoSpacing"/>
              <w:jc w:val="both"/>
              <w:rPr>
                <w:rFonts w:asciiTheme="minorHAnsi" w:hAnsiTheme="minorHAnsi"/>
                <w:sz w:val="44"/>
                <w:szCs w:val="44"/>
                <w:lang w:val="en-CA"/>
              </w:rPr>
            </w:pPr>
            <w:r w:rsidRPr="00DC34BB">
              <w:rPr>
                <w:rFonts w:asciiTheme="minorHAnsi" w:hAnsiTheme="minorHAnsi"/>
                <w:sz w:val="44"/>
                <w:szCs w:val="44"/>
                <w:lang w:val="en-CA"/>
              </w:rPr>
              <w:t xml:space="preserve">DRAFT </w:t>
            </w:r>
          </w:p>
        </w:tc>
      </w:tr>
      <w:tr w:rsidR="00891056" w:rsidRPr="00DC34BB" w14:paraId="417B240F" w14:textId="77777777" w:rsidTr="00922948">
        <w:trPr>
          <w:trHeight w:val="360"/>
          <w:jc w:val="center"/>
        </w:trPr>
        <w:tc>
          <w:tcPr>
            <w:tcW w:w="5000" w:type="pct"/>
            <w:vAlign w:val="center"/>
          </w:tcPr>
          <w:p w14:paraId="479F332D" w14:textId="77777777" w:rsidR="00891056" w:rsidRPr="00DC34BB" w:rsidRDefault="00891056" w:rsidP="00922948">
            <w:pPr>
              <w:pStyle w:val="NoSpacing"/>
              <w:spacing w:line="276" w:lineRule="auto"/>
              <w:jc w:val="both"/>
              <w:rPr>
                <w:rFonts w:cs="Times New Roman"/>
                <w:lang w:val="en-CA"/>
              </w:rPr>
            </w:pPr>
          </w:p>
        </w:tc>
      </w:tr>
      <w:tr w:rsidR="00891056" w:rsidRPr="00DC34BB" w14:paraId="033FF865" w14:textId="77777777" w:rsidTr="00922948">
        <w:trPr>
          <w:trHeight w:val="360"/>
          <w:jc w:val="center"/>
        </w:trPr>
        <w:tc>
          <w:tcPr>
            <w:tcW w:w="5000" w:type="pct"/>
            <w:vAlign w:val="center"/>
          </w:tcPr>
          <w:p w14:paraId="2C231DB4" w14:textId="77777777" w:rsidR="00891056" w:rsidRPr="00DC34BB" w:rsidRDefault="00891056" w:rsidP="00922948">
            <w:pPr>
              <w:pStyle w:val="NoSpacing"/>
              <w:spacing w:line="276" w:lineRule="auto"/>
              <w:jc w:val="both"/>
              <w:rPr>
                <w:rFonts w:cs="Times New Roman"/>
                <w:b/>
                <w:bCs/>
                <w:sz w:val="36"/>
                <w:szCs w:val="36"/>
                <w:lang w:val="en-CA"/>
              </w:rPr>
            </w:pPr>
          </w:p>
          <w:p w14:paraId="5A375C74" w14:textId="77777777" w:rsidR="00891056" w:rsidRPr="00DC34BB" w:rsidRDefault="00891056" w:rsidP="00922948">
            <w:pPr>
              <w:pStyle w:val="NoSpacing"/>
              <w:spacing w:line="276" w:lineRule="auto"/>
              <w:jc w:val="both"/>
              <w:rPr>
                <w:b/>
                <w:bCs/>
                <w:sz w:val="36"/>
                <w:szCs w:val="36"/>
                <w:lang w:val="en-CA"/>
              </w:rPr>
            </w:pPr>
            <w:r w:rsidRPr="00DC34BB">
              <w:rPr>
                <w:b/>
                <w:bCs/>
                <w:sz w:val="36"/>
                <w:szCs w:val="36"/>
                <w:lang w:val="en-CA"/>
              </w:rPr>
              <w:t>Mackenzie Valley Land and Water Board</w:t>
            </w:r>
          </w:p>
          <w:p w14:paraId="18E2B4B8" w14:textId="77777777" w:rsidR="00891056" w:rsidRPr="00DC34BB" w:rsidRDefault="00891056" w:rsidP="00922948">
            <w:pPr>
              <w:pStyle w:val="NoSpacing"/>
              <w:spacing w:line="276" w:lineRule="auto"/>
              <w:jc w:val="both"/>
              <w:rPr>
                <w:b/>
                <w:bCs/>
                <w:sz w:val="36"/>
                <w:szCs w:val="36"/>
                <w:lang w:val="en-CA"/>
              </w:rPr>
            </w:pPr>
            <w:r w:rsidRPr="00DC34BB">
              <w:rPr>
                <w:b/>
                <w:bCs/>
                <w:sz w:val="36"/>
                <w:szCs w:val="36"/>
                <w:lang w:val="en-CA"/>
              </w:rPr>
              <w:t>Gwich’in Land and Water Board</w:t>
            </w:r>
          </w:p>
          <w:p w14:paraId="4C3BC3DF" w14:textId="77777777" w:rsidR="00891056" w:rsidRPr="00DC34BB" w:rsidRDefault="00891056" w:rsidP="00922948">
            <w:pPr>
              <w:pStyle w:val="NoSpacing"/>
              <w:spacing w:line="276" w:lineRule="auto"/>
              <w:jc w:val="both"/>
              <w:rPr>
                <w:b/>
                <w:bCs/>
                <w:sz w:val="36"/>
                <w:szCs w:val="36"/>
                <w:lang w:val="en-CA"/>
              </w:rPr>
            </w:pPr>
            <w:r w:rsidRPr="00DC34BB">
              <w:rPr>
                <w:b/>
                <w:bCs/>
                <w:sz w:val="36"/>
                <w:szCs w:val="36"/>
                <w:lang w:val="en-CA"/>
              </w:rPr>
              <w:t>Sahtu Land and Water Board</w:t>
            </w:r>
          </w:p>
          <w:p w14:paraId="2BD6115D" w14:textId="77777777" w:rsidR="00891056" w:rsidRPr="00DC34BB" w:rsidRDefault="00891056" w:rsidP="00922948">
            <w:pPr>
              <w:pStyle w:val="NoSpacing"/>
              <w:spacing w:line="276" w:lineRule="auto"/>
              <w:jc w:val="both"/>
              <w:rPr>
                <w:b/>
                <w:bCs/>
                <w:sz w:val="36"/>
                <w:szCs w:val="36"/>
                <w:lang w:val="en-CA"/>
              </w:rPr>
            </w:pPr>
            <w:r w:rsidRPr="00DC34BB">
              <w:rPr>
                <w:b/>
                <w:bCs/>
                <w:sz w:val="36"/>
                <w:szCs w:val="36"/>
                <w:lang w:val="en-CA"/>
              </w:rPr>
              <w:t>Wek’èezhìi Land and Water Board</w:t>
            </w:r>
          </w:p>
          <w:p w14:paraId="4E64DDF9" w14:textId="77777777" w:rsidR="00891056" w:rsidRPr="00DC34BB" w:rsidRDefault="00891056" w:rsidP="00922948">
            <w:pPr>
              <w:pStyle w:val="NoSpacing"/>
              <w:spacing w:line="276" w:lineRule="auto"/>
              <w:jc w:val="both"/>
              <w:rPr>
                <w:b/>
                <w:bCs/>
                <w:sz w:val="36"/>
                <w:szCs w:val="36"/>
                <w:lang w:val="en-CA"/>
              </w:rPr>
            </w:pPr>
          </w:p>
          <w:p w14:paraId="0EA47459" w14:textId="77777777" w:rsidR="00891056" w:rsidRPr="00DC34BB" w:rsidRDefault="00891056" w:rsidP="00922948">
            <w:pPr>
              <w:pStyle w:val="NoSpacing"/>
              <w:spacing w:line="276" w:lineRule="auto"/>
              <w:jc w:val="both"/>
              <w:rPr>
                <w:b/>
                <w:bCs/>
                <w:sz w:val="36"/>
                <w:szCs w:val="36"/>
                <w:lang w:val="en-CA"/>
              </w:rPr>
            </w:pPr>
          </w:p>
          <w:p w14:paraId="56103A78" w14:textId="77777777" w:rsidR="00891056" w:rsidRPr="00DC34BB" w:rsidRDefault="00891056" w:rsidP="00922948">
            <w:pPr>
              <w:pStyle w:val="NoSpacing"/>
              <w:spacing w:line="276" w:lineRule="auto"/>
              <w:jc w:val="both"/>
              <w:rPr>
                <w:b/>
                <w:bCs/>
                <w:sz w:val="36"/>
                <w:szCs w:val="36"/>
                <w:lang w:val="en-CA"/>
              </w:rPr>
            </w:pPr>
          </w:p>
          <w:p w14:paraId="479FFA04" w14:textId="77777777" w:rsidR="00891056" w:rsidRPr="00DC34BB" w:rsidRDefault="00891056" w:rsidP="00922948">
            <w:pPr>
              <w:pStyle w:val="NoSpacing"/>
              <w:spacing w:line="276" w:lineRule="auto"/>
              <w:jc w:val="both"/>
              <w:rPr>
                <w:b/>
                <w:bCs/>
                <w:sz w:val="36"/>
                <w:szCs w:val="36"/>
                <w:lang w:val="en-CA"/>
              </w:rPr>
            </w:pPr>
          </w:p>
          <w:p w14:paraId="5F473EEC" w14:textId="07D93985" w:rsidR="00891056" w:rsidRPr="00DC34BB" w:rsidRDefault="00891056" w:rsidP="00922948">
            <w:pPr>
              <w:pStyle w:val="NoSpacing"/>
              <w:spacing w:line="276" w:lineRule="auto"/>
              <w:jc w:val="both"/>
              <w:rPr>
                <w:b/>
                <w:bCs/>
                <w:sz w:val="36"/>
                <w:szCs w:val="36"/>
                <w:lang w:val="en-CA"/>
              </w:rPr>
            </w:pPr>
            <w:r w:rsidRPr="00DC34BB">
              <w:rPr>
                <w:b/>
                <w:bCs/>
                <w:sz w:val="36"/>
                <w:szCs w:val="36"/>
                <w:lang w:val="en-CA"/>
              </w:rPr>
              <w:t>February, 2022</w:t>
            </w:r>
          </w:p>
          <w:p w14:paraId="4B45CAE9" w14:textId="77777777" w:rsidR="00891056" w:rsidRPr="00DC34BB" w:rsidRDefault="00891056" w:rsidP="00922948">
            <w:pPr>
              <w:pStyle w:val="NoSpacing"/>
              <w:spacing w:line="276" w:lineRule="auto"/>
              <w:jc w:val="both"/>
              <w:rPr>
                <w:b/>
                <w:bCs/>
                <w:sz w:val="36"/>
                <w:szCs w:val="36"/>
                <w:lang w:val="en-CA"/>
              </w:rPr>
            </w:pPr>
          </w:p>
          <w:p w14:paraId="4F862B0E" w14:textId="77777777" w:rsidR="00891056" w:rsidRPr="00DC34BB" w:rsidRDefault="00891056" w:rsidP="00922948">
            <w:pPr>
              <w:pStyle w:val="NoSpacing"/>
              <w:spacing w:line="276" w:lineRule="auto"/>
              <w:jc w:val="both"/>
              <w:rPr>
                <w:b/>
                <w:bCs/>
                <w:sz w:val="36"/>
                <w:szCs w:val="36"/>
                <w:lang w:val="en-CA"/>
              </w:rPr>
            </w:pPr>
          </w:p>
          <w:p w14:paraId="692E8CD4" w14:textId="77777777" w:rsidR="00891056" w:rsidRPr="00DC34BB" w:rsidRDefault="00891056" w:rsidP="00922948">
            <w:pPr>
              <w:pStyle w:val="NoSpacing"/>
              <w:spacing w:line="276" w:lineRule="auto"/>
              <w:jc w:val="both"/>
              <w:rPr>
                <w:b/>
                <w:bCs/>
                <w:sz w:val="36"/>
                <w:szCs w:val="36"/>
                <w:lang w:val="en-CA"/>
              </w:rPr>
            </w:pPr>
          </w:p>
          <w:p w14:paraId="39DD8B90" w14:textId="77777777" w:rsidR="00891056" w:rsidRPr="00DC34BB" w:rsidRDefault="00891056" w:rsidP="00922948">
            <w:pPr>
              <w:pStyle w:val="NoSpacing"/>
              <w:spacing w:line="276" w:lineRule="auto"/>
              <w:jc w:val="both"/>
              <w:rPr>
                <w:b/>
                <w:bCs/>
                <w:sz w:val="36"/>
                <w:szCs w:val="36"/>
                <w:lang w:val="en-CA"/>
              </w:rPr>
            </w:pPr>
          </w:p>
        </w:tc>
      </w:tr>
    </w:tbl>
    <w:p w14:paraId="69DB808E" w14:textId="63A256F1" w:rsidR="008C444D" w:rsidRPr="00DC34BB" w:rsidRDefault="008C444D" w:rsidP="0005280E">
      <w:pPr>
        <w:sectPr w:rsidR="008C444D" w:rsidRPr="00DC34BB" w:rsidSect="00052FE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14:paraId="3AB3C3A7" w14:textId="77777777" w:rsidR="00313089" w:rsidRPr="00DC34BB" w:rsidRDefault="00313089" w:rsidP="00313089">
      <w:pPr>
        <w:keepNext/>
        <w:spacing w:before="120" w:after="120"/>
        <w:ind w:left="432" w:hanging="432"/>
        <w:jc w:val="left"/>
        <w:outlineLvl w:val="0"/>
        <w:rPr>
          <w:rFonts w:ascii="Calibri" w:eastAsia="Times New Roman" w:hAnsi="Calibri" w:cs="Times New Roman"/>
          <w:b/>
          <w:bCs/>
          <w:kern w:val="32"/>
          <w:szCs w:val="28"/>
          <w:u w:val="single"/>
        </w:rPr>
      </w:pPr>
      <w:bookmarkStart w:id="1" w:name="_Toc81060471"/>
      <w:r w:rsidRPr="00DC34BB">
        <w:rPr>
          <w:rFonts w:ascii="Calibri" w:eastAsia="Times New Roman" w:hAnsi="Calibri" w:cs="Times New Roman"/>
          <w:b/>
          <w:bCs/>
          <w:kern w:val="32"/>
          <w:szCs w:val="28"/>
          <w:u w:val="single"/>
        </w:rPr>
        <w:lastRenderedPageBreak/>
        <w:t>Revision History Table</w:t>
      </w:r>
      <w:bookmarkEnd w:id="1"/>
    </w:p>
    <w:tbl>
      <w:tblPr>
        <w:tblStyle w:val="TableGrid1"/>
        <w:tblW w:w="9360" w:type="dxa"/>
        <w:tblInd w:w="-5" w:type="dxa"/>
        <w:tblLook w:val="04A0" w:firstRow="1" w:lastRow="0" w:firstColumn="1" w:lastColumn="0" w:noHBand="0" w:noVBand="1"/>
      </w:tblPr>
      <w:tblGrid>
        <w:gridCol w:w="1170"/>
        <w:gridCol w:w="2430"/>
        <w:gridCol w:w="5760"/>
      </w:tblGrid>
      <w:tr w:rsidR="00313089" w:rsidRPr="00DC34BB" w14:paraId="3741B8A9" w14:textId="77777777" w:rsidTr="00EE79C3">
        <w:tc>
          <w:tcPr>
            <w:tcW w:w="1170" w:type="dxa"/>
            <w:vAlign w:val="center"/>
          </w:tcPr>
          <w:p w14:paraId="1D65C033" w14:textId="77777777" w:rsidR="00313089" w:rsidRPr="00DC34BB" w:rsidRDefault="00313089" w:rsidP="00313089">
            <w:pPr>
              <w:spacing w:after="0"/>
              <w:jc w:val="left"/>
              <w:rPr>
                <w:b/>
                <w:bCs/>
                <w:lang w:val="en-CA"/>
              </w:rPr>
            </w:pPr>
            <w:r w:rsidRPr="00DC34BB">
              <w:rPr>
                <w:b/>
                <w:bCs/>
                <w:lang w:val="en-CA"/>
              </w:rPr>
              <w:t>Date</w:t>
            </w:r>
          </w:p>
        </w:tc>
        <w:tc>
          <w:tcPr>
            <w:tcW w:w="2430" w:type="dxa"/>
            <w:vAlign w:val="center"/>
          </w:tcPr>
          <w:p w14:paraId="638B38E5" w14:textId="77777777" w:rsidR="00313089" w:rsidRPr="00DC34BB" w:rsidRDefault="00313089" w:rsidP="00313089">
            <w:pPr>
              <w:spacing w:after="0"/>
              <w:jc w:val="left"/>
              <w:rPr>
                <w:b/>
                <w:bCs/>
                <w:lang w:val="en-CA"/>
              </w:rPr>
            </w:pPr>
            <w:r w:rsidRPr="00DC34BB">
              <w:rPr>
                <w:b/>
                <w:bCs/>
                <w:lang w:val="en-CA"/>
              </w:rPr>
              <w:t>Section</w:t>
            </w:r>
          </w:p>
        </w:tc>
        <w:tc>
          <w:tcPr>
            <w:tcW w:w="5760" w:type="dxa"/>
            <w:vAlign w:val="center"/>
          </w:tcPr>
          <w:p w14:paraId="6F129742" w14:textId="77777777" w:rsidR="00313089" w:rsidRPr="00DC34BB" w:rsidRDefault="00313089" w:rsidP="00313089">
            <w:pPr>
              <w:spacing w:after="0"/>
              <w:jc w:val="left"/>
              <w:rPr>
                <w:b/>
                <w:bCs/>
                <w:lang w:val="en-CA"/>
              </w:rPr>
            </w:pPr>
            <w:r w:rsidRPr="00DC34BB">
              <w:rPr>
                <w:b/>
                <w:bCs/>
                <w:lang w:val="en-CA"/>
              </w:rPr>
              <w:t xml:space="preserve">Revision </w:t>
            </w:r>
          </w:p>
        </w:tc>
      </w:tr>
      <w:tr w:rsidR="00D717D4" w:rsidRPr="00DC34BB" w14:paraId="2A0566B5" w14:textId="77777777" w:rsidTr="00EE79C3">
        <w:trPr>
          <w:trHeight w:val="1143"/>
        </w:trPr>
        <w:tc>
          <w:tcPr>
            <w:tcW w:w="1170" w:type="dxa"/>
            <w:vMerge w:val="restart"/>
            <w:vAlign w:val="center"/>
          </w:tcPr>
          <w:p w14:paraId="6F5604A2" w14:textId="08F8CAE4" w:rsidR="00D717D4" w:rsidRPr="00DC34BB" w:rsidRDefault="00D717D4" w:rsidP="00313089">
            <w:pPr>
              <w:spacing w:after="0"/>
              <w:jc w:val="left"/>
              <w:rPr>
                <w:lang w:val="en-CA"/>
              </w:rPr>
            </w:pPr>
            <w:r w:rsidRPr="00DC34BB">
              <w:rPr>
                <w:lang w:val="en-CA"/>
              </w:rPr>
              <w:t>X, 2022</w:t>
            </w:r>
          </w:p>
        </w:tc>
        <w:tc>
          <w:tcPr>
            <w:tcW w:w="2430" w:type="dxa"/>
            <w:vAlign w:val="center"/>
          </w:tcPr>
          <w:p w14:paraId="51FCA181" w14:textId="77777777" w:rsidR="00D717D4" w:rsidRPr="00DC34BB" w:rsidRDefault="00D717D4" w:rsidP="00313089">
            <w:pPr>
              <w:spacing w:after="0"/>
              <w:jc w:val="left"/>
              <w:rPr>
                <w:lang w:val="en-CA"/>
              </w:rPr>
            </w:pPr>
            <w:r w:rsidRPr="00DC34BB">
              <w:rPr>
                <w:lang w:val="en-CA"/>
              </w:rPr>
              <w:t>General</w:t>
            </w:r>
          </w:p>
        </w:tc>
        <w:tc>
          <w:tcPr>
            <w:tcW w:w="5760" w:type="dxa"/>
            <w:vAlign w:val="center"/>
          </w:tcPr>
          <w:p w14:paraId="52CA5A83" w14:textId="036DE7DB"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Expanded scope to include all types of waste deposits authorized in both licences and permits</w:t>
            </w:r>
          </w:p>
          <w:p w14:paraId="44F8695B" w14:textId="1BB99227"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Expanded scope from a narrow focus on EQC to include a broader variety of licence and permit requirements currently used by the LWBs to regulate the deposit of waste</w:t>
            </w:r>
          </w:p>
          <w:p w14:paraId="63CCA602" w14:textId="07FEBDF7"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Updated terminology and definitions</w:t>
            </w:r>
          </w:p>
          <w:p w14:paraId="3D0973E4" w14:textId="77777777"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Updated references to new and updated LWB guidance documents</w:t>
            </w:r>
          </w:p>
          <w:p w14:paraId="56CA2419" w14:textId="6563F972"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Updated references to legislation</w:t>
            </w:r>
          </w:p>
          <w:p w14:paraId="2EAFD183" w14:textId="1ECDF9E6"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 xml:space="preserve">Corrected typographical </w:t>
            </w:r>
            <w:r w:rsidR="008C620F" w:rsidRPr="00DC34BB">
              <w:rPr>
                <w:rFonts w:cs="Times New Roman"/>
                <w:lang w:val="en-CA"/>
              </w:rPr>
              <w:t xml:space="preserve">and administrative </w:t>
            </w:r>
            <w:r w:rsidRPr="00DC34BB">
              <w:rPr>
                <w:rFonts w:cs="Times New Roman"/>
                <w:lang w:val="en-CA"/>
              </w:rPr>
              <w:t>errors</w:t>
            </w:r>
          </w:p>
        </w:tc>
      </w:tr>
      <w:tr w:rsidR="00D717D4" w:rsidRPr="00DC34BB" w14:paraId="45AA461A" w14:textId="77777777" w:rsidTr="00EE79C3">
        <w:tc>
          <w:tcPr>
            <w:tcW w:w="1170" w:type="dxa"/>
            <w:vMerge/>
            <w:vAlign w:val="center"/>
          </w:tcPr>
          <w:p w14:paraId="2C41F89C" w14:textId="77777777" w:rsidR="00D717D4" w:rsidRPr="00DC34BB" w:rsidRDefault="00D717D4" w:rsidP="00313089">
            <w:pPr>
              <w:spacing w:after="0"/>
              <w:jc w:val="left"/>
              <w:rPr>
                <w:lang w:val="en-CA"/>
              </w:rPr>
            </w:pPr>
          </w:p>
        </w:tc>
        <w:tc>
          <w:tcPr>
            <w:tcW w:w="2430" w:type="dxa"/>
            <w:vAlign w:val="center"/>
          </w:tcPr>
          <w:p w14:paraId="79EB3DC1" w14:textId="68AF6A61" w:rsidR="00D717D4" w:rsidRPr="00DC34BB" w:rsidRDefault="00D717D4" w:rsidP="007448EE">
            <w:pPr>
              <w:spacing w:after="0"/>
              <w:jc w:val="left"/>
              <w:rPr>
                <w:lang w:val="en-CA"/>
              </w:rPr>
            </w:pPr>
            <w:r w:rsidRPr="00DC34BB">
              <w:rPr>
                <w:lang w:val="en-CA"/>
              </w:rPr>
              <w:t>1.0 – Introduction (including subsections 1.1-1.5)</w:t>
            </w:r>
          </w:p>
        </w:tc>
        <w:tc>
          <w:tcPr>
            <w:tcW w:w="5760" w:type="dxa"/>
            <w:vAlign w:val="center"/>
          </w:tcPr>
          <w:p w14:paraId="7579A4A2" w14:textId="77777777" w:rsidR="00D717D4" w:rsidRPr="00DC34BB" w:rsidRDefault="00D717D4" w:rsidP="009D5C42">
            <w:pPr>
              <w:pStyle w:val="ListParagraph"/>
              <w:numPr>
                <w:ilvl w:val="0"/>
                <w:numId w:val="45"/>
              </w:numPr>
              <w:spacing w:after="0"/>
              <w:jc w:val="left"/>
              <w:rPr>
                <w:rFonts w:cs="Times New Roman"/>
                <w:lang w:val="en-CA"/>
              </w:rPr>
            </w:pPr>
            <w:r w:rsidRPr="00DC34BB">
              <w:rPr>
                <w:rFonts w:cs="Times New Roman"/>
                <w:lang w:val="en-CA"/>
              </w:rPr>
              <w:t>Updated to reflect overall general revisions noted above</w:t>
            </w:r>
          </w:p>
          <w:p w14:paraId="621473C5" w14:textId="5DC7E135" w:rsidR="00D717D4" w:rsidRPr="00DC34BB" w:rsidRDefault="00D717D4" w:rsidP="009D5C42">
            <w:pPr>
              <w:pStyle w:val="ListParagraph"/>
              <w:numPr>
                <w:ilvl w:val="0"/>
                <w:numId w:val="45"/>
              </w:numPr>
              <w:spacing w:after="0"/>
              <w:jc w:val="left"/>
              <w:rPr>
                <w:rFonts w:cs="Times New Roman"/>
                <w:lang w:val="en-CA"/>
              </w:rPr>
            </w:pPr>
            <w:r w:rsidRPr="00DC34BB">
              <w:rPr>
                <w:rFonts w:cs="Times New Roman"/>
                <w:lang w:val="en-CA"/>
              </w:rPr>
              <w:t>Updated history of Policy</w:t>
            </w:r>
          </w:p>
        </w:tc>
      </w:tr>
      <w:tr w:rsidR="00D717D4" w:rsidRPr="00DC34BB" w14:paraId="15AA9281" w14:textId="77777777" w:rsidTr="00EE79C3">
        <w:tc>
          <w:tcPr>
            <w:tcW w:w="1170" w:type="dxa"/>
            <w:vMerge/>
            <w:vAlign w:val="center"/>
          </w:tcPr>
          <w:p w14:paraId="30501EC0" w14:textId="77777777" w:rsidR="00D717D4" w:rsidRPr="00DC34BB" w:rsidRDefault="00D717D4" w:rsidP="00313089">
            <w:pPr>
              <w:spacing w:after="0"/>
              <w:jc w:val="left"/>
              <w:rPr>
                <w:lang w:val="en-CA"/>
              </w:rPr>
            </w:pPr>
          </w:p>
        </w:tc>
        <w:tc>
          <w:tcPr>
            <w:tcW w:w="2430" w:type="dxa"/>
            <w:vAlign w:val="center"/>
          </w:tcPr>
          <w:p w14:paraId="0CB87449" w14:textId="49413F4F" w:rsidR="00D717D4" w:rsidRPr="00DC34BB" w:rsidRDefault="00D717D4" w:rsidP="00313089">
            <w:pPr>
              <w:spacing w:after="0"/>
              <w:jc w:val="left"/>
              <w:rPr>
                <w:lang w:val="en-CA"/>
              </w:rPr>
            </w:pPr>
            <w:r w:rsidRPr="00DC34BB">
              <w:rPr>
                <w:lang w:val="en-CA"/>
              </w:rPr>
              <w:t>2.0 – Guiding Principles</w:t>
            </w:r>
          </w:p>
        </w:tc>
        <w:tc>
          <w:tcPr>
            <w:tcW w:w="5760" w:type="dxa"/>
            <w:vAlign w:val="center"/>
          </w:tcPr>
          <w:p w14:paraId="7216C483" w14:textId="3E73A857" w:rsidR="00D717D4" w:rsidRPr="00DC34BB" w:rsidRDefault="00D717D4" w:rsidP="009D5C42">
            <w:pPr>
              <w:pStyle w:val="ListParagraph"/>
              <w:numPr>
                <w:ilvl w:val="0"/>
                <w:numId w:val="45"/>
              </w:numPr>
              <w:spacing w:after="0"/>
              <w:jc w:val="left"/>
              <w:rPr>
                <w:lang w:val="en-CA"/>
              </w:rPr>
            </w:pPr>
            <w:r w:rsidRPr="00DC34BB">
              <w:rPr>
                <w:lang w:val="en-CA"/>
              </w:rPr>
              <w:t>Updated to incorporate consideration of climate change and cumulative effects</w:t>
            </w:r>
          </w:p>
          <w:p w14:paraId="021C6064" w14:textId="084BD34C" w:rsidR="00D717D4" w:rsidRPr="00DC34BB" w:rsidRDefault="00D717D4" w:rsidP="009D5C42">
            <w:pPr>
              <w:pStyle w:val="ListParagraph"/>
              <w:numPr>
                <w:ilvl w:val="0"/>
                <w:numId w:val="45"/>
              </w:numPr>
              <w:spacing w:after="0"/>
              <w:jc w:val="left"/>
              <w:rPr>
                <w:lang w:val="en-CA"/>
              </w:rPr>
            </w:pPr>
            <w:r w:rsidRPr="00DC34BB">
              <w:rPr>
                <w:lang w:val="en-CA"/>
              </w:rPr>
              <w:t>Removed limitation on types of knowledge to be considered</w:t>
            </w:r>
          </w:p>
        </w:tc>
      </w:tr>
      <w:tr w:rsidR="00D717D4" w:rsidRPr="00DC34BB" w14:paraId="092518D1" w14:textId="77777777" w:rsidTr="00EE79C3">
        <w:tc>
          <w:tcPr>
            <w:tcW w:w="1170" w:type="dxa"/>
            <w:vMerge/>
            <w:vAlign w:val="center"/>
          </w:tcPr>
          <w:p w14:paraId="4BC31EDB" w14:textId="77777777" w:rsidR="00D717D4" w:rsidRPr="00DC34BB" w:rsidRDefault="00D717D4" w:rsidP="00313089">
            <w:pPr>
              <w:spacing w:after="0"/>
              <w:jc w:val="left"/>
              <w:rPr>
                <w:lang w:val="en-CA"/>
              </w:rPr>
            </w:pPr>
          </w:p>
        </w:tc>
        <w:tc>
          <w:tcPr>
            <w:tcW w:w="2430" w:type="dxa"/>
            <w:vAlign w:val="center"/>
          </w:tcPr>
          <w:p w14:paraId="178386B0" w14:textId="05E5F88D" w:rsidR="00D717D4" w:rsidRPr="00DC34BB" w:rsidRDefault="00D717D4" w:rsidP="005454D7">
            <w:pPr>
              <w:spacing w:after="0"/>
              <w:jc w:val="left"/>
              <w:rPr>
                <w:lang w:val="en-CA"/>
              </w:rPr>
            </w:pPr>
            <w:r w:rsidRPr="00DC34BB">
              <w:rPr>
                <w:lang w:val="en-CA"/>
              </w:rPr>
              <w:t xml:space="preserve">3.0 – Objectives </w:t>
            </w:r>
          </w:p>
          <w:p w14:paraId="4E3EDD98" w14:textId="2004F267" w:rsidR="00D717D4" w:rsidRPr="00DC34BB" w:rsidRDefault="00D717D4" w:rsidP="00313089">
            <w:pPr>
              <w:spacing w:after="0"/>
              <w:jc w:val="left"/>
              <w:rPr>
                <w:lang w:val="en-CA"/>
              </w:rPr>
            </w:pPr>
          </w:p>
        </w:tc>
        <w:tc>
          <w:tcPr>
            <w:tcW w:w="5760" w:type="dxa"/>
            <w:vAlign w:val="center"/>
          </w:tcPr>
          <w:p w14:paraId="5CC7F598" w14:textId="76A9847E"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Updated existing objectives to reflect revised scope</w:t>
            </w:r>
          </w:p>
          <w:p w14:paraId="7E25BF34" w14:textId="637E7962"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 xml:space="preserve">Added new objective for managing waste in accordance with best practices </w:t>
            </w:r>
          </w:p>
        </w:tc>
      </w:tr>
      <w:tr w:rsidR="00D717D4" w:rsidRPr="00DC34BB" w14:paraId="451DBB84" w14:textId="77777777" w:rsidTr="00EE79C3">
        <w:tc>
          <w:tcPr>
            <w:tcW w:w="1170" w:type="dxa"/>
            <w:vMerge/>
            <w:vAlign w:val="center"/>
          </w:tcPr>
          <w:p w14:paraId="6F35C531" w14:textId="77777777" w:rsidR="00D717D4" w:rsidRPr="00DC34BB" w:rsidRDefault="00D717D4" w:rsidP="00313089">
            <w:pPr>
              <w:spacing w:after="0"/>
              <w:jc w:val="left"/>
              <w:rPr>
                <w:lang w:val="en-CA"/>
              </w:rPr>
            </w:pPr>
          </w:p>
        </w:tc>
        <w:tc>
          <w:tcPr>
            <w:tcW w:w="2430" w:type="dxa"/>
            <w:vAlign w:val="center"/>
          </w:tcPr>
          <w:p w14:paraId="7CDADCA3" w14:textId="41C3E3E7" w:rsidR="00D717D4" w:rsidRPr="00DC34BB" w:rsidRDefault="00D717D4" w:rsidP="00313089">
            <w:pPr>
              <w:spacing w:after="0"/>
              <w:jc w:val="left"/>
              <w:rPr>
                <w:lang w:val="en-CA"/>
              </w:rPr>
            </w:pPr>
            <w:r w:rsidRPr="00DC34BB">
              <w:rPr>
                <w:lang w:val="en-CA"/>
              </w:rPr>
              <w:t>4.1 – Waste Management Practices</w:t>
            </w:r>
          </w:p>
        </w:tc>
        <w:tc>
          <w:tcPr>
            <w:tcW w:w="5760" w:type="dxa"/>
            <w:vAlign w:val="center"/>
          </w:tcPr>
          <w:p w14:paraId="734F5285" w14:textId="5F401696" w:rsidR="00D717D4" w:rsidRPr="00DC34BB" w:rsidRDefault="00D717D4" w:rsidP="009D5C42">
            <w:pPr>
              <w:pStyle w:val="ListParagraph"/>
              <w:numPr>
                <w:ilvl w:val="0"/>
                <w:numId w:val="45"/>
              </w:numPr>
              <w:spacing w:after="0"/>
              <w:jc w:val="left"/>
              <w:rPr>
                <w:lang w:val="en-CA"/>
              </w:rPr>
            </w:pPr>
            <w:r w:rsidRPr="00DC34BB">
              <w:rPr>
                <w:lang w:val="en-CA"/>
              </w:rPr>
              <w:t xml:space="preserve">Updated subsection to reflect LWBs’ </w:t>
            </w:r>
            <w:r w:rsidRPr="00DC34BB">
              <w:rPr>
                <w:i/>
                <w:iCs/>
                <w:lang w:val="en-CA"/>
              </w:rPr>
              <w:t>Guidelines for Developing a Waste Management Plan</w:t>
            </w:r>
            <w:r w:rsidRPr="00DC34BB">
              <w:rPr>
                <w:lang w:val="en-CA"/>
              </w:rPr>
              <w:t>, expanded Policy scope, and new Policy objective</w:t>
            </w:r>
          </w:p>
        </w:tc>
      </w:tr>
      <w:tr w:rsidR="00D717D4" w:rsidRPr="00DC34BB" w14:paraId="6E636651" w14:textId="77777777" w:rsidTr="00EE79C3">
        <w:tc>
          <w:tcPr>
            <w:tcW w:w="1170" w:type="dxa"/>
            <w:vMerge/>
            <w:vAlign w:val="center"/>
          </w:tcPr>
          <w:p w14:paraId="20AF92E4" w14:textId="77777777" w:rsidR="00D717D4" w:rsidRPr="00DC34BB" w:rsidRDefault="00D717D4" w:rsidP="00313089">
            <w:pPr>
              <w:spacing w:after="0"/>
              <w:jc w:val="left"/>
              <w:rPr>
                <w:lang w:val="en-CA"/>
              </w:rPr>
            </w:pPr>
          </w:p>
        </w:tc>
        <w:tc>
          <w:tcPr>
            <w:tcW w:w="2430" w:type="dxa"/>
            <w:vAlign w:val="center"/>
          </w:tcPr>
          <w:p w14:paraId="5A636D3E" w14:textId="7D45390E" w:rsidR="00D717D4" w:rsidRPr="00DC34BB" w:rsidRDefault="00D717D4" w:rsidP="00313089">
            <w:pPr>
              <w:spacing w:after="0"/>
              <w:jc w:val="left"/>
              <w:rPr>
                <w:lang w:val="en-CA"/>
              </w:rPr>
            </w:pPr>
            <w:r w:rsidRPr="00DC34BB">
              <w:rPr>
                <w:lang w:val="en-CA"/>
              </w:rPr>
              <w:t>4.2 – Management Plans</w:t>
            </w:r>
          </w:p>
        </w:tc>
        <w:tc>
          <w:tcPr>
            <w:tcW w:w="5760" w:type="dxa"/>
            <w:vAlign w:val="center"/>
          </w:tcPr>
          <w:p w14:paraId="3362BFC3" w14:textId="51B43F30" w:rsidR="00D717D4" w:rsidRPr="00DC34BB" w:rsidRDefault="00D717D4" w:rsidP="009D5C42">
            <w:pPr>
              <w:pStyle w:val="ListParagraph"/>
              <w:numPr>
                <w:ilvl w:val="0"/>
                <w:numId w:val="45"/>
              </w:numPr>
              <w:spacing w:after="0"/>
              <w:jc w:val="left"/>
              <w:rPr>
                <w:lang w:val="en-CA"/>
              </w:rPr>
            </w:pPr>
            <w:r w:rsidRPr="00DC34BB">
              <w:rPr>
                <w:lang w:val="en-CA"/>
              </w:rPr>
              <w:t>Updated subsection to reflect current LWB Application Forms, guidance documents, and Standard Licence and Permit Conditions</w:t>
            </w:r>
          </w:p>
        </w:tc>
      </w:tr>
      <w:tr w:rsidR="00D717D4" w:rsidRPr="00DC34BB" w14:paraId="05BA4250" w14:textId="77777777" w:rsidTr="00EE79C3">
        <w:tc>
          <w:tcPr>
            <w:tcW w:w="1170" w:type="dxa"/>
            <w:vMerge/>
            <w:vAlign w:val="center"/>
          </w:tcPr>
          <w:p w14:paraId="67EE4771" w14:textId="77777777" w:rsidR="00D717D4" w:rsidRPr="00DC34BB" w:rsidRDefault="00D717D4" w:rsidP="00313089">
            <w:pPr>
              <w:spacing w:after="0"/>
              <w:jc w:val="left"/>
              <w:rPr>
                <w:lang w:val="en-CA"/>
              </w:rPr>
            </w:pPr>
          </w:p>
        </w:tc>
        <w:tc>
          <w:tcPr>
            <w:tcW w:w="2430" w:type="dxa"/>
            <w:vAlign w:val="center"/>
          </w:tcPr>
          <w:p w14:paraId="3B37AA38" w14:textId="188F6405" w:rsidR="00D717D4" w:rsidRPr="00DC34BB" w:rsidRDefault="00D717D4" w:rsidP="00313089">
            <w:pPr>
              <w:spacing w:after="0"/>
              <w:jc w:val="left"/>
              <w:rPr>
                <w:lang w:val="en-CA"/>
              </w:rPr>
            </w:pPr>
            <w:r w:rsidRPr="00DC34BB">
              <w:rPr>
                <w:lang w:val="en-CA"/>
              </w:rPr>
              <w:t>4.3 – Discharge Criteria in Licences</w:t>
            </w:r>
          </w:p>
        </w:tc>
        <w:tc>
          <w:tcPr>
            <w:tcW w:w="5760" w:type="dxa"/>
            <w:vAlign w:val="center"/>
          </w:tcPr>
          <w:p w14:paraId="49E32FD8" w14:textId="33DF33A0" w:rsidR="00D717D4" w:rsidRPr="00DC34BB" w:rsidRDefault="00D717D4" w:rsidP="009D5C42">
            <w:pPr>
              <w:pStyle w:val="ListParagraph"/>
              <w:numPr>
                <w:ilvl w:val="0"/>
                <w:numId w:val="45"/>
              </w:numPr>
              <w:spacing w:after="0"/>
              <w:jc w:val="left"/>
              <w:rPr>
                <w:lang w:val="en-CA"/>
              </w:rPr>
            </w:pPr>
            <w:r w:rsidRPr="00DC34BB">
              <w:rPr>
                <w:lang w:val="en-CA"/>
              </w:rPr>
              <w:t>Revised to describe several types of discharge criteria that may be included in licences to regulate the deposit of waste, with EQC as only one type</w:t>
            </w:r>
          </w:p>
          <w:p w14:paraId="40A4DFE0" w14:textId="77777777" w:rsidR="00D717D4" w:rsidRPr="00DC34BB" w:rsidRDefault="00D717D4" w:rsidP="009D5C42">
            <w:pPr>
              <w:pStyle w:val="ListParagraph"/>
              <w:numPr>
                <w:ilvl w:val="0"/>
                <w:numId w:val="45"/>
              </w:numPr>
              <w:spacing w:after="0"/>
              <w:jc w:val="left"/>
              <w:rPr>
                <w:lang w:val="en-CA"/>
              </w:rPr>
            </w:pPr>
            <w:r w:rsidRPr="00DC34BB">
              <w:rPr>
                <w:lang w:val="en-CA"/>
              </w:rPr>
              <w:t>Added information about location where discharge criteria will apply</w:t>
            </w:r>
          </w:p>
          <w:p w14:paraId="7DF5A882" w14:textId="77777777" w:rsidR="00D717D4" w:rsidRPr="00DC34BB" w:rsidRDefault="00D717D4" w:rsidP="009D5C42">
            <w:pPr>
              <w:pStyle w:val="ListParagraph"/>
              <w:numPr>
                <w:ilvl w:val="0"/>
                <w:numId w:val="45"/>
              </w:numPr>
              <w:spacing w:after="0"/>
              <w:jc w:val="left"/>
              <w:rPr>
                <w:lang w:val="en-CA"/>
              </w:rPr>
            </w:pPr>
            <w:r w:rsidRPr="00DC34BB">
              <w:rPr>
                <w:lang w:val="en-CA"/>
              </w:rPr>
              <w:t>Added information about the role of WQOs and the relationship between WQOs and discharge criteria</w:t>
            </w:r>
          </w:p>
          <w:p w14:paraId="4B1F8C38" w14:textId="77777777" w:rsidR="00D717D4" w:rsidRPr="00DC34BB" w:rsidRDefault="00D717D4" w:rsidP="009D5C42">
            <w:pPr>
              <w:pStyle w:val="ListParagraph"/>
              <w:numPr>
                <w:ilvl w:val="0"/>
                <w:numId w:val="45"/>
              </w:numPr>
              <w:spacing w:after="0"/>
              <w:jc w:val="left"/>
              <w:rPr>
                <w:lang w:val="en-CA"/>
              </w:rPr>
            </w:pPr>
            <w:r w:rsidRPr="00DC34BB">
              <w:rPr>
                <w:lang w:val="en-CA"/>
              </w:rPr>
              <w:t>Revised discussion of EQC to include both point and non-source effluent</w:t>
            </w:r>
          </w:p>
          <w:p w14:paraId="6189FCF6" w14:textId="1D484B23" w:rsidR="00D717D4" w:rsidRPr="00DC34BB" w:rsidRDefault="00D717D4" w:rsidP="009D5C42">
            <w:pPr>
              <w:pStyle w:val="ListParagraph"/>
              <w:numPr>
                <w:ilvl w:val="0"/>
                <w:numId w:val="45"/>
              </w:numPr>
              <w:spacing w:after="0"/>
              <w:jc w:val="left"/>
              <w:rPr>
                <w:lang w:val="en-CA"/>
              </w:rPr>
            </w:pPr>
            <w:r w:rsidRPr="00DC34BB">
              <w:rPr>
                <w:lang w:val="en-CA"/>
              </w:rPr>
              <w:t xml:space="preserve">Updated to reflect the LWB/GNWT </w:t>
            </w:r>
            <w:r w:rsidRPr="00DC34BB">
              <w:rPr>
                <w:i/>
                <w:iCs/>
                <w:lang w:val="en-CA"/>
              </w:rPr>
              <w:t>Guidelines for Effluent Mixing Zones</w:t>
            </w:r>
            <w:r w:rsidRPr="00DC34BB">
              <w:rPr>
                <w:lang w:val="en-CA"/>
              </w:rPr>
              <w:t xml:space="preserve"> and the </w:t>
            </w:r>
            <w:r w:rsidR="00075B61" w:rsidRPr="00DC34BB">
              <w:rPr>
                <w:lang w:val="en-CA"/>
              </w:rPr>
              <w:t>associated</w:t>
            </w:r>
            <w:r w:rsidRPr="00DC34BB">
              <w:rPr>
                <w:lang w:val="en-CA"/>
              </w:rPr>
              <w:t xml:space="preserve"> </w:t>
            </w:r>
            <w:r w:rsidRPr="00DC34BB">
              <w:rPr>
                <w:i/>
                <w:iCs/>
                <w:lang w:val="en-CA"/>
              </w:rPr>
              <w:t>Standard Process for Setting Effluent Quality Criteria</w:t>
            </w:r>
          </w:p>
        </w:tc>
      </w:tr>
      <w:tr w:rsidR="00D717D4" w:rsidRPr="00DC34BB" w14:paraId="3BCED55D" w14:textId="77777777" w:rsidTr="00EE79C3">
        <w:tc>
          <w:tcPr>
            <w:tcW w:w="1170" w:type="dxa"/>
            <w:vMerge/>
            <w:vAlign w:val="center"/>
          </w:tcPr>
          <w:p w14:paraId="76592064" w14:textId="77777777" w:rsidR="00D717D4" w:rsidRPr="00DC34BB" w:rsidRDefault="00D717D4" w:rsidP="00313089">
            <w:pPr>
              <w:spacing w:after="0"/>
              <w:jc w:val="left"/>
              <w:rPr>
                <w:lang w:val="en-CA"/>
              </w:rPr>
            </w:pPr>
          </w:p>
        </w:tc>
        <w:tc>
          <w:tcPr>
            <w:tcW w:w="2430" w:type="dxa"/>
            <w:vAlign w:val="center"/>
          </w:tcPr>
          <w:p w14:paraId="345F1E61" w14:textId="3E932F93" w:rsidR="00D717D4" w:rsidRPr="00DC34BB" w:rsidRDefault="00D717D4" w:rsidP="00313089">
            <w:pPr>
              <w:spacing w:after="0"/>
              <w:jc w:val="left"/>
              <w:rPr>
                <w:lang w:val="en-CA"/>
              </w:rPr>
            </w:pPr>
            <w:r w:rsidRPr="00DC34BB">
              <w:rPr>
                <w:lang w:val="en-CA"/>
              </w:rPr>
              <w:t>4.4 – Monitoring Requirements</w:t>
            </w:r>
          </w:p>
        </w:tc>
        <w:tc>
          <w:tcPr>
            <w:tcW w:w="5760" w:type="dxa"/>
            <w:vAlign w:val="center"/>
          </w:tcPr>
          <w:p w14:paraId="79DBAB2B" w14:textId="77777777" w:rsidR="00D717D4" w:rsidRPr="00DC34BB" w:rsidRDefault="00D717D4" w:rsidP="009D5C42">
            <w:pPr>
              <w:pStyle w:val="ListParagraph"/>
              <w:numPr>
                <w:ilvl w:val="0"/>
                <w:numId w:val="45"/>
              </w:numPr>
              <w:spacing w:after="0"/>
              <w:jc w:val="left"/>
              <w:rPr>
                <w:lang w:val="en-CA"/>
              </w:rPr>
            </w:pPr>
            <w:r w:rsidRPr="00DC34BB">
              <w:rPr>
                <w:lang w:val="en-CA"/>
              </w:rPr>
              <w:t>Clarified that an SNP may include both water and wastewater monitoring</w:t>
            </w:r>
          </w:p>
          <w:p w14:paraId="44F3E284" w14:textId="77777777" w:rsidR="00D717D4" w:rsidRPr="00DC34BB" w:rsidRDefault="00D717D4" w:rsidP="009D5C42">
            <w:pPr>
              <w:pStyle w:val="ListParagraph"/>
              <w:numPr>
                <w:ilvl w:val="0"/>
                <w:numId w:val="45"/>
              </w:numPr>
              <w:spacing w:after="0"/>
              <w:jc w:val="left"/>
              <w:rPr>
                <w:lang w:val="en-CA"/>
              </w:rPr>
            </w:pPr>
            <w:r w:rsidRPr="00DC34BB">
              <w:rPr>
                <w:lang w:val="en-CA"/>
              </w:rPr>
              <w:t>Clarified purpose of SNP monitoring</w:t>
            </w:r>
          </w:p>
          <w:p w14:paraId="19078CDE" w14:textId="77777777" w:rsidR="00D717D4" w:rsidRPr="00DC34BB" w:rsidRDefault="00D717D4" w:rsidP="009D5C42">
            <w:pPr>
              <w:pStyle w:val="ListParagraph"/>
              <w:numPr>
                <w:ilvl w:val="0"/>
                <w:numId w:val="45"/>
              </w:numPr>
              <w:spacing w:after="0"/>
              <w:jc w:val="left"/>
              <w:rPr>
                <w:lang w:val="en-CA"/>
              </w:rPr>
            </w:pPr>
            <w:r w:rsidRPr="00DC34BB">
              <w:rPr>
                <w:lang w:val="en-CA"/>
              </w:rPr>
              <w:lastRenderedPageBreak/>
              <w:t>Updated and clarified typical SNP monitoring locations in relation to waste management systems, discharge points, and receiving environment</w:t>
            </w:r>
          </w:p>
          <w:p w14:paraId="6455B2E9" w14:textId="2686FC82" w:rsidR="00D717D4" w:rsidRPr="00DC34BB" w:rsidRDefault="00D717D4" w:rsidP="009D5C42">
            <w:pPr>
              <w:pStyle w:val="ListParagraph"/>
              <w:numPr>
                <w:ilvl w:val="0"/>
                <w:numId w:val="45"/>
              </w:numPr>
              <w:spacing w:after="0"/>
              <w:jc w:val="left"/>
              <w:rPr>
                <w:lang w:val="en-CA"/>
              </w:rPr>
            </w:pPr>
            <w:r w:rsidRPr="00DC34BB">
              <w:rPr>
                <w:lang w:val="en-CA"/>
              </w:rPr>
              <w:t>Added paragraph about current expectations for monitoring and response frameworks in plans</w:t>
            </w:r>
          </w:p>
          <w:p w14:paraId="194C42A6" w14:textId="77777777" w:rsidR="00D717D4" w:rsidRPr="00DC34BB" w:rsidRDefault="00D717D4" w:rsidP="009D5C42">
            <w:pPr>
              <w:pStyle w:val="ListParagraph"/>
              <w:numPr>
                <w:ilvl w:val="0"/>
                <w:numId w:val="45"/>
              </w:numPr>
              <w:spacing w:after="0"/>
              <w:jc w:val="left"/>
              <w:rPr>
                <w:lang w:val="en-CA"/>
              </w:rPr>
            </w:pPr>
            <w:r w:rsidRPr="00DC34BB">
              <w:rPr>
                <w:lang w:val="en-CA"/>
              </w:rPr>
              <w:t xml:space="preserve">Updated information about AEMP monitoring to reflect LWB/GNWT </w:t>
            </w:r>
            <w:r w:rsidRPr="00DC34BB">
              <w:rPr>
                <w:i/>
                <w:iCs/>
                <w:lang w:val="en-CA"/>
              </w:rPr>
              <w:t>Guidelines for AEMPs</w:t>
            </w:r>
          </w:p>
          <w:p w14:paraId="401D36DF" w14:textId="2F39C73B" w:rsidR="00D717D4" w:rsidRPr="00DC34BB" w:rsidRDefault="00D717D4" w:rsidP="009D5C42">
            <w:pPr>
              <w:pStyle w:val="ListParagraph"/>
              <w:numPr>
                <w:ilvl w:val="0"/>
                <w:numId w:val="45"/>
              </w:numPr>
              <w:spacing w:after="0"/>
              <w:jc w:val="left"/>
              <w:rPr>
                <w:lang w:val="en-CA"/>
              </w:rPr>
            </w:pPr>
            <w:r w:rsidRPr="00DC34BB">
              <w:rPr>
                <w:lang w:val="en-CA"/>
              </w:rPr>
              <w:t xml:space="preserve">Added requirement to meet data requirements in GNWT’s </w:t>
            </w:r>
            <w:r w:rsidRPr="00DC34BB">
              <w:rPr>
                <w:i/>
                <w:iCs/>
                <w:lang w:val="en-CA"/>
              </w:rPr>
              <w:t>Standards for Reporting Water Quality Information in the NWT</w:t>
            </w:r>
          </w:p>
        </w:tc>
      </w:tr>
      <w:tr w:rsidR="00D717D4" w:rsidRPr="00DC34BB" w14:paraId="34AA014D" w14:textId="77777777" w:rsidTr="00EE79C3">
        <w:tc>
          <w:tcPr>
            <w:tcW w:w="1170" w:type="dxa"/>
            <w:vMerge/>
            <w:vAlign w:val="center"/>
          </w:tcPr>
          <w:p w14:paraId="08DC2E26" w14:textId="77777777" w:rsidR="00D717D4" w:rsidRPr="00DC34BB" w:rsidRDefault="00D717D4" w:rsidP="00313089">
            <w:pPr>
              <w:spacing w:after="0"/>
              <w:jc w:val="left"/>
              <w:rPr>
                <w:lang w:val="en-CA"/>
              </w:rPr>
            </w:pPr>
          </w:p>
        </w:tc>
        <w:tc>
          <w:tcPr>
            <w:tcW w:w="2430" w:type="dxa"/>
            <w:vAlign w:val="center"/>
          </w:tcPr>
          <w:p w14:paraId="01E327B9" w14:textId="003142C9" w:rsidR="00D717D4" w:rsidRPr="00DC34BB" w:rsidRDefault="00D717D4" w:rsidP="00313089">
            <w:pPr>
              <w:spacing w:after="0"/>
              <w:jc w:val="left"/>
              <w:rPr>
                <w:lang w:val="en-CA"/>
              </w:rPr>
            </w:pPr>
            <w:r w:rsidRPr="00DC34BB">
              <w:rPr>
                <w:lang w:val="en-CA"/>
              </w:rPr>
              <w:t>4.5 – Adaptive Management</w:t>
            </w:r>
          </w:p>
        </w:tc>
        <w:tc>
          <w:tcPr>
            <w:tcW w:w="5760" w:type="dxa"/>
            <w:vAlign w:val="center"/>
          </w:tcPr>
          <w:p w14:paraId="7F40EC81" w14:textId="747C131D"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Expanded to include both qualitative and quantitative monitoring</w:t>
            </w:r>
          </w:p>
          <w:p w14:paraId="4DB7A0FE" w14:textId="18A809BE"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Added information about response frameworks</w:t>
            </w:r>
          </w:p>
          <w:p w14:paraId="06624C0F" w14:textId="77777777" w:rsidR="00D717D4" w:rsidRPr="00DC34BB" w:rsidRDefault="00D717D4" w:rsidP="009D5C42">
            <w:pPr>
              <w:numPr>
                <w:ilvl w:val="0"/>
                <w:numId w:val="45"/>
              </w:numPr>
              <w:spacing w:after="0"/>
              <w:contextualSpacing/>
              <w:jc w:val="left"/>
              <w:rPr>
                <w:rFonts w:cs="Times New Roman"/>
                <w:lang w:val="en-CA"/>
              </w:rPr>
            </w:pPr>
            <w:r w:rsidRPr="00DC34BB">
              <w:rPr>
                <w:rFonts w:cs="Times New Roman"/>
                <w:lang w:val="en-CA"/>
              </w:rPr>
              <w:t>Added examples of adaptive management in licences and permits</w:t>
            </w:r>
          </w:p>
          <w:p w14:paraId="617084F8" w14:textId="3BA9B313" w:rsidR="00D717D4" w:rsidRPr="00DC34BB" w:rsidRDefault="00D717D4" w:rsidP="00A17961">
            <w:pPr>
              <w:numPr>
                <w:ilvl w:val="0"/>
                <w:numId w:val="45"/>
              </w:numPr>
              <w:spacing w:after="0"/>
              <w:contextualSpacing/>
              <w:jc w:val="left"/>
              <w:rPr>
                <w:rFonts w:cs="Times New Roman"/>
                <w:lang w:val="en-CA"/>
              </w:rPr>
            </w:pPr>
            <w:r w:rsidRPr="00DC34BB">
              <w:rPr>
                <w:rFonts w:cs="Times New Roman"/>
                <w:lang w:val="en-CA"/>
              </w:rPr>
              <w:t>Added information about EQC exceedance response actions in standard licence conditions</w:t>
            </w:r>
          </w:p>
        </w:tc>
      </w:tr>
      <w:tr w:rsidR="00D717D4" w:rsidRPr="00DC34BB" w14:paraId="3B94EB3C" w14:textId="77777777" w:rsidTr="00EE79C3">
        <w:tc>
          <w:tcPr>
            <w:tcW w:w="1170" w:type="dxa"/>
            <w:vMerge/>
            <w:vAlign w:val="center"/>
          </w:tcPr>
          <w:p w14:paraId="365E8EBB" w14:textId="77777777" w:rsidR="00D717D4" w:rsidRPr="00DC34BB" w:rsidRDefault="00D717D4" w:rsidP="00313089">
            <w:pPr>
              <w:spacing w:after="0"/>
              <w:jc w:val="left"/>
              <w:rPr>
                <w:lang w:val="en-CA"/>
              </w:rPr>
            </w:pPr>
          </w:p>
        </w:tc>
        <w:tc>
          <w:tcPr>
            <w:tcW w:w="2430" w:type="dxa"/>
            <w:vAlign w:val="center"/>
          </w:tcPr>
          <w:p w14:paraId="64966822" w14:textId="0C2E9045" w:rsidR="00D717D4" w:rsidRPr="00DC34BB" w:rsidRDefault="00D717D4" w:rsidP="00313089">
            <w:pPr>
              <w:spacing w:after="0"/>
              <w:jc w:val="left"/>
              <w:rPr>
                <w:lang w:val="en-CA"/>
              </w:rPr>
            </w:pPr>
            <w:r w:rsidRPr="00DC34BB">
              <w:rPr>
                <w:lang w:val="en-CA"/>
              </w:rPr>
              <w:t>5.0 – Information Required to Regulate the Deposit of Waste</w:t>
            </w:r>
          </w:p>
        </w:tc>
        <w:tc>
          <w:tcPr>
            <w:tcW w:w="5760" w:type="dxa"/>
            <w:vAlign w:val="center"/>
          </w:tcPr>
          <w:p w14:paraId="0986CA6F" w14:textId="0620D68D" w:rsidR="00D717D4" w:rsidRPr="00DC34BB" w:rsidRDefault="00D717D4" w:rsidP="009D5C42">
            <w:pPr>
              <w:pStyle w:val="ListParagraph"/>
              <w:numPr>
                <w:ilvl w:val="0"/>
                <w:numId w:val="45"/>
              </w:numPr>
              <w:spacing w:after="0"/>
              <w:jc w:val="left"/>
              <w:rPr>
                <w:lang w:val="en-CA"/>
              </w:rPr>
            </w:pPr>
            <w:r w:rsidRPr="00DC34BB">
              <w:rPr>
                <w:lang w:val="en-CA"/>
              </w:rPr>
              <w:t>Replaced information about public/party participation with references to the LWBs’ Engagement Guidelines and Policy</w:t>
            </w:r>
          </w:p>
          <w:p w14:paraId="6DF7A967" w14:textId="34D38D01" w:rsidR="00D717D4" w:rsidRPr="00DC34BB" w:rsidRDefault="00D717D4" w:rsidP="009D5C42">
            <w:pPr>
              <w:pStyle w:val="ListParagraph"/>
              <w:numPr>
                <w:ilvl w:val="0"/>
                <w:numId w:val="45"/>
              </w:numPr>
              <w:spacing w:after="0"/>
              <w:jc w:val="left"/>
              <w:rPr>
                <w:lang w:val="en-CA"/>
              </w:rPr>
            </w:pPr>
            <w:r w:rsidRPr="00DC34BB">
              <w:rPr>
                <w:lang w:val="en-CA"/>
              </w:rPr>
              <w:t>Moved information about Policy implementation, performance, and review up to section 1.0</w:t>
            </w:r>
          </w:p>
          <w:p w14:paraId="7925D623" w14:textId="01D50061" w:rsidR="00D717D4" w:rsidRPr="00DC34BB" w:rsidRDefault="00D717D4" w:rsidP="009D5C42">
            <w:pPr>
              <w:pStyle w:val="ListParagraph"/>
              <w:numPr>
                <w:ilvl w:val="0"/>
                <w:numId w:val="45"/>
              </w:numPr>
              <w:spacing w:after="0"/>
              <w:jc w:val="left"/>
              <w:rPr>
                <w:lang w:val="en-CA"/>
              </w:rPr>
            </w:pPr>
            <w:r w:rsidRPr="00DC34BB">
              <w:rPr>
                <w:lang w:val="en-CA"/>
              </w:rPr>
              <w:t>Added references to relevant guidance documents</w:t>
            </w:r>
          </w:p>
        </w:tc>
      </w:tr>
      <w:tr w:rsidR="00D717D4" w:rsidRPr="00DC34BB" w14:paraId="3464CD8E" w14:textId="77777777" w:rsidTr="00EE79C3">
        <w:tc>
          <w:tcPr>
            <w:tcW w:w="1170" w:type="dxa"/>
            <w:vMerge/>
            <w:vAlign w:val="center"/>
          </w:tcPr>
          <w:p w14:paraId="3A24B5C5" w14:textId="77777777" w:rsidR="00D717D4" w:rsidRPr="00DC34BB" w:rsidRDefault="00D717D4" w:rsidP="00313089">
            <w:pPr>
              <w:spacing w:after="0"/>
              <w:jc w:val="left"/>
              <w:rPr>
                <w:lang w:val="en-CA"/>
              </w:rPr>
            </w:pPr>
          </w:p>
        </w:tc>
        <w:tc>
          <w:tcPr>
            <w:tcW w:w="2430" w:type="dxa"/>
            <w:vAlign w:val="center"/>
          </w:tcPr>
          <w:p w14:paraId="2D5E135F" w14:textId="3D287E15" w:rsidR="00D717D4" w:rsidRPr="00DC34BB" w:rsidRDefault="00D717D4" w:rsidP="00313089">
            <w:pPr>
              <w:spacing w:after="0"/>
              <w:jc w:val="left"/>
              <w:rPr>
                <w:lang w:val="en-CA"/>
              </w:rPr>
            </w:pPr>
            <w:r w:rsidRPr="00DC34BB">
              <w:rPr>
                <w:lang w:val="en-CA"/>
              </w:rPr>
              <w:t>5.1 – Information Required from Applicants</w:t>
            </w:r>
          </w:p>
        </w:tc>
        <w:tc>
          <w:tcPr>
            <w:tcW w:w="5760" w:type="dxa"/>
            <w:vAlign w:val="center"/>
          </w:tcPr>
          <w:p w14:paraId="57D3E6FC" w14:textId="5159FC83" w:rsidR="00D717D4" w:rsidRPr="00DC34BB" w:rsidRDefault="00D717D4" w:rsidP="009D5C42">
            <w:pPr>
              <w:pStyle w:val="ListParagraph"/>
              <w:numPr>
                <w:ilvl w:val="0"/>
                <w:numId w:val="45"/>
              </w:numPr>
              <w:spacing w:after="0"/>
              <w:jc w:val="left"/>
              <w:rPr>
                <w:lang w:val="en-CA"/>
              </w:rPr>
            </w:pPr>
            <w:r w:rsidRPr="00DC34BB">
              <w:rPr>
                <w:lang w:val="en-CA"/>
              </w:rPr>
              <w:t>Revised to reflect current information requirements for applications and submissions as set out in the LWBs’ current guidance documents, including the following additions:</w:t>
            </w:r>
          </w:p>
          <w:p w14:paraId="411F6825" w14:textId="77777777" w:rsidR="00D717D4" w:rsidRPr="00DC34BB" w:rsidRDefault="00D717D4" w:rsidP="003C0198">
            <w:pPr>
              <w:pStyle w:val="ListParagraph"/>
              <w:numPr>
                <w:ilvl w:val="1"/>
                <w:numId w:val="45"/>
              </w:numPr>
              <w:spacing w:after="0"/>
              <w:ind w:left="1066"/>
              <w:jc w:val="left"/>
              <w:rPr>
                <w:lang w:val="en-CA"/>
              </w:rPr>
            </w:pPr>
            <w:r w:rsidRPr="00DC34BB">
              <w:rPr>
                <w:lang w:val="en-CA"/>
              </w:rPr>
              <w:t>Potential environmental effects for each waste type;</w:t>
            </w:r>
          </w:p>
          <w:p w14:paraId="6CDDDCB5" w14:textId="77777777" w:rsidR="00D717D4" w:rsidRPr="00DC34BB" w:rsidRDefault="00D717D4" w:rsidP="003C0198">
            <w:pPr>
              <w:pStyle w:val="ListParagraph"/>
              <w:numPr>
                <w:ilvl w:val="1"/>
                <w:numId w:val="45"/>
              </w:numPr>
              <w:spacing w:after="0"/>
              <w:ind w:left="1066"/>
              <w:jc w:val="left"/>
              <w:rPr>
                <w:lang w:val="en-CA"/>
              </w:rPr>
            </w:pPr>
            <w:r w:rsidRPr="00DC34BB">
              <w:rPr>
                <w:lang w:val="en-CA"/>
              </w:rPr>
              <w:t>Consideration of climate change and cumulative impacts;</w:t>
            </w:r>
          </w:p>
          <w:p w14:paraId="5A4A2649" w14:textId="3A035641" w:rsidR="00D717D4" w:rsidRPr="00DC34BB" w:rsidRDefault="00D717D4" w:rsidP="003C0198">
            <w:pPr>
              <w:pStyle w:val="ListParagraph"/>
              <w:numPr>
                <w:ilvl w:val="1"/>
                <w:numId w:val="45"/>
              </w:numPr>
              <w:spacing w:after="0"/>
              <w:ind w:left="1066"/>
              <w:jc w:val="left"/>
              <w:rPr>
                <w:lang w:val="en-CA"/>
              </w:rPr>
            </w:pPr>
            <w:r w:rsidRPr="00DC34BB">
              <w:rPr>
                <w:lang w:val="en-CA"/>
              </w:rPr>
              <w:t>Contingency plans,</w:t>
            </w:r>
          </w:p>
          <w:p w14:paraId="2394EA41" w14:textId="08E32611" w:rsidR="00D717D4" w:rsidRPr="00DC34BB" w:rsidRDefault="00D717D4" w:rsidP="003C0198">
            <w:pPr>
              <w:pStyle w:val="ListParagraph"/>
              <w:numPr>
                <w:ilvl w:val="1"/>
                <w:numId w:val="45"/>
              </w:numPr>
              <w:spacing w:after="0"/>
              <w:ind w:left="1066"/>
              <w:jc w:val="left"/>
              <w:rPr>
                <w:lang w:val="en-CA"/>
              </w:rPr>
            </w:pPr>
            <w:r w:rsidRPr="00DC34BB">
              <w:rPr>
                <w:lang w:val="en-CA"/>
              </w:rPr>
              <w:t xml:space="preserve">Closure plans, and </w:t>
            </w:r>
          </w:p>
          <w:p w14:paraId="6313A9F2" w14:textId="77777777" w:rsidR="00D717D4" w:rsidRPr="00DC34BB" w:rsidRDefault="00D717D4" w:rsidP="003C0198">
            <w:pPr>
              <w:pStyle w:val="ListParagraph"/>
              <w:numPr>
                <w:ilvl w:val="1"/>
                <w:numId w:val="45"/>
              </w:numPr>
              <w:spacing w:after="0"/>
              <w:ind w:left="1066"/>
              <w:jc w:val="left"/>
              <w:rPr>
                <w:lang w:val="en-CA"/>
              </w:rPr>
            </w:pPr>
            <w:r w:rsidRPr="00DC34BB">
              <w:rPr>
                <w:lang w:val="en-CA"/>
              </w:rPr>
              <w:t>Proposed monitoring</w:t>
            </w:r>
          </w:p>
          <w:p w14:paraId="0D19DDF6" w14:textId="49B68B84" w:rsidR="00D717D4" w:rsidRPr="00DC34BB" w:rsidRDefault="00D717D4" w:rsidP="009D5C42">
            <w:pPr>
              <w:pStyle w:val="ListParagraph"/>
              <w:numPr>
                <w:ilvl w:val="0"/>
                <w:numId w:val="45"/>
              </w:numPr>
              <w:spacing w:after="0"/>
              <w:jc w:val="left"/>
              <w:rPr>
                <w:lang w:val="en-CA"/>
              </w:rPr>
            </w:pPr>
            <w:r w:rsidRPr="00DC34BB">
              <w:rPr>
                <w:lang w:val="en-CA"/>
              </w:rPr>
              <w:t>Revised WQO information requirements to acknowledge that baseline conditions for a project may not always be pre-development</w:t>
            </w:r>
          </w:p>
        </w:tc>
      </w:tr>
      <w:tr w:rsidR="00D717D4" w:rsidRPr="00DC34BB" w14:paraId="3364ECD0" w14:textId="77777777" w:rsidTr="00EE79C3">
        <w:tc>
          <w:tcPr>
            <w:tcW w:w="1170" w:type="dxa"/>
            <w:vMerge/>
            <w:vAlign w:val="center"/>
          </w:tcPr>
          <w:p w14:paraId="22461787" w14:textId="77777777" w:rsidR="00D717D4" w:rsidRPr="00DC34BB" w:rsidRDefault="00D717D4" w:rsidP="00313089">
            <w:pPr>
              <w:spacing w:after="0"/>
              <w:jc w:val="left"/>
              <w:rPr>
                <w:lang w:val="en-CA"/>
              </w:rPr>
            </w:pPr>
          </w:p>
        </w:tc>
        <w:tc>
          <w:tcPr>
            <w:tcW w:w="2430" w:type="dxa"/>
            <w:vAlign w:val="center"/>
          </w:tcPr>
          <w:p w14:paraId="76016550" w14:textId="38E10FE1" w:rsidR="00D717D4" w:rsidRPr="00DC34BB" w:rsidRDefault="00D717D4" w:rsidP="00313089">
            <w:pPr>
              <w:spacing w:after="0"/>
              <w:jc w:val="left"/>
              <w:rPr>
                <w:lang w:val="en-CA"/>
              </w:rPr>
            </w:pPr>
            <w:r w:rsidRPr="00DC34BB">
              <w:rPr>
                <w:lang w:val="en-CA"/>
              </w:rPr>
              <w:t>5.2 – Consideration of Other Applicable Legislation</w:t>
            </w:r>
          </w:p>
        </w:tc>
        <w:tc>
          <w:tcPr>
            <w:tcW w:w="5760" w:type="dxa"/>
            <w:vAlign w:val="center"/>
          </w:tcPr>
          <w:p w14:paraId="0D8D4188" w14:textId="77777777" w:rsidR="00D717D4" w:rsidRPr="00DC34BB" w:rsidRDefault="00D717D4" w:rsidP="009D5C42">
            <w:pPr>
              <w:pStyle w:val="ListParagraph"/>
              <w:numPr>
                <w:ilvl w:val="0"/>
                <w:numId w:val="45"/>
              </w:numPr>
              <w:spacing w:after="0"/>
              <w:jc w:val="left"/>
              <w:rPr>
                <w:lang w:val="en-CA"/>
              </w:rPr>
            </w:pPr>
            <w:r w:rsidRPr="00DC34BB">
              <w:rPr>
                <w:lang w:val="en-CA"/>
              </w:rPr>
              <w:t>Updated to include additional examples of applicable legislation</w:t>
            </w:r>
          </w:p>
          <w:p w14:paraId="2E98B502" w14:textId="7C473080" w:rsidR="00D717D4" w:rsidRPr="00DC34BB" w:rsidRDefault="00D717D4" w:rsidP="009D5C42">
            <w:pPr>
              <w:pStyle w:val="ListParagraph"/>
              <w:numPr>
                <w:ilvl w:val="0"/>
                <w:numId w:val="45"/>
              </w:numPr>
              <w:spacing w:after="0"/>
              <w:jc w:val="left"/>
              <w:rPr>
                <w:lang w:val="en-CA"/>
              </w:rPr>
            </w:pPr>
            <w:r w:rsidRPr="00DC34BB">
              <w:rPr>
                <w:lang w:val="en-CA"/>
              </w:rPr>
              <w:t>Clarified LWBs’ role and approach with regard to other applicable legislation</w:t>
            </w:r>
            <w:r w:rsidR="005E183F" w:rsidRPr="00DC34BB">
              <w:rPr>
                <w:lang w:val="en-CA"/>
              </w:rPr>
              <w:t xml:space="preserve"> and regulatory overlap</w:t>
            </w:r>
          </w:p>
        </w:tc>
      </w:tr>
      <w:tr w:rsidR="00D717D4" w:rsidRPr="00DC34BB" w14:paraId="1856C7FD" w14:textId="77777777" w:rsidTr="00EE79C3">
        <w:tc>
          <w:tcPr>
            <w:tcW w:w="1170" w:type="dxa"/>
            <w:vMerge/>
            <w:vAlign w:val="center"/>
          </w:tcPr>
          <w:p w14:paraId="389F1CAD" w14:textId="77777777" w:rsidR="00D717D4" w:rsidRPr="00DC34BB" w:rsidRDefault="00D717D4" w:rsidP="00313089">
            <w:pPr>
              <w:spacing w:after="0"/>
              <w:jc w:val="left"/>
              <w:rPr>
                <w:lang w:val="en-CA"/>
              </w:rPr>
            </w:pPr>
          </w:p>
        </w:tc>
        <w:tc>
          <w:tcPr>
            <w:tcW w:w="2430" w:type="dxa"/>
            <w:vAlign w:val="center"/>
          </w:tcPr>
          <w:p w14:paraId="4B1BD803" w14:textId="1F92290F" w:rsidR="00D717D4" w:rsidRPr="00DC34BB" w:rsidRDefault="00D717D4" w:rsidP="00313089">
            <w:pPr>
              <w:spacing w:after="0"/>
              <w:jc w:val="left"/>
              <w:rPr>
                <w:lang w:val="en-CA"/>
              </w:rPr>
            </w:pPr>
            <w:r w:rsidRPr="00DC34BB">
              <w:rPr>
                <w:lang w:val="en-CA"/>
              </w:rPr>
              <w:t>Appendix A: Guidelines/Strategies that will Support Implementation of this Policy</w:t>
            </w:r>
          </w:p>
        </w:tc>
        <w:tc>
          <w:tcPr>
            <w:tcW w:w="5760" w:type="dxa"/>
            <w:vAlign w:val="center"/>
          </w:tcPr>
          <w:p w14:paraId="063AC9A7" w14:textId="34EE618D" w:rsidR="00D717D4" w:rsidRPr="00DC34BB" w:rsidRDefault="00D717D4" w:rsidP="009D5C42">
            <w:pPr>
              <w:pStyle w:val="ListParagraph"/>
              <w:numPr>
                <w:ilvl w:val="0"/>
                <w:numId w:val="45"/>
              </w:numPr>
              <w:spacing w:after="0"/>
              <w:jc w:val="left"/>
              <w:rPr>
                <w:lang w:val="en-CA"/>
              </w:rPr>
            </w:pPr>
            <w:r w:rsidRPr="00DC34BB">
              <w:rPr>
                <w:lang w:val="en-CA"/>
              </w:rPr>
              <w:t>Replaced by list of guidance documents in section 1.1</w:t>
            </w:r>
          </w:p>
        </w:tc>
      </w:tr>
      <w:tr w:rsidR="00313089" w:rsidRPr="00DC34BB" w14:paraId="1BC7CAB0" w14:textId="77777777" w:rsidTr="00EE79C3">
        <w:tc>
          <w:tcPr>
            <w:tcW w:w="1170" w:type="dxa"/>
            <w:vAlign w:val="center"/>
          </w:tcPr>
          <w:p w14:paraId="7900AD54" w14:textId="3B244261" w:rsidR="00313089" w:rsidRPr="00DC34BB" w:rsidRDefault="00B9168C" w:rsidP="00313089">
            <w:pPr>
              <w:spacing w:after="0"/>
              <w:jc w:val="left"/>
              <w:rPr>
                <w:lang w:val="en-CA"/>
              </w:rPr>
            </w:pPr>
            <w:r w:rsidRPr="00DC34BB">
              <w:rPr>
                <w:lang w:val="en-CA"/>
              </w:rPr>
              <w:t>2011</w:t>
            </w:r>
          </w:p>
        </w:tc>
        <w:tc>
          <w:tcPr>
            <w:tcW w:w="2430" w:type="dxa"/>
            <w:vAlign w:val="center"/>
          </w:tcPr>
          <w:p w14:paraId="2A065EDC" w14:textId="1886B4E3" w:rsidR="00313089" w:rsidRPr="00DC34BB" w:rsidRDefault="00313089" w:rsidP="00313089">
            <w:pPr>
              <w:spacing w:after="0"/>
              <w:jc w:val="left"/>
              <w:rPr>
                <w:lang w:val="en-CA"/>
              </w:rPr>
            </w:pPr>
          </w:p>
        </w:tc>
        <w:tc>
          <w:tcPr>
            <w:tcW w:w="5760" w:type="dxa"/>
            <w:vAlign w:val="center"/>
          </w:tcPr>
          <w:p w14:paraId="5171F4C3" w14:textId="2097E767" w:rsidR="00313089" w:rsidRPr="00DC34BB" w:rsidRDefault="00A91FBA" w:rsidP="00313089">
            <w:pPr>
              <w:spacing w:after="0"/>
              <w:jc w:val="left"/>
              <w:rPr>
                <w:lang w:val="en-CA"/>
              </w:rPr>
            </w:pPr>
            <w:r w:rsidRPr="00DC34BB">
              <w:rPr>
                <w:i/>
                <w:iCs/>
                <w:lang w:val="en-CA"/>
              </w:rPr>
              <w:t>Water and Effluent Quality Management Policy</w:t>
            </w:r>
            <w:r w:rsidRPr="00DC34BB">
              <w:rPr>
                <w:lang w:val="en-CA"/>
              </w:rPr>
              <w:t xml:space="preserve"> released. </w:t>
            </w:r>
          </w:p>
        </w:tc>
      </w:tr>
    </w:tbl>
    <w:sdt>
      <w:sdtPr>
        <w:rPr>
          <w:rFonts w:asciiTheme="minorHAnsi" w:eastAsiaTheme="minorHAnsi" w:hAnsiTheme="minorHAnsi" w:cstheme="minorBidi"/>
          <w:color w:val="auto"/>
          <w:sz w:val="22"/>
          <w:szCs w:val="22"/>
          <w:lang w:val="en-CA"/>
        </w:rPr>
        <w:id w:val="-169864427"/>
        <w:docPartObj>
          <w:docPartGallery w:val="Table of Contents"/>
          <w:docPartUnique/>
        </w:docPartObj>
      </w:sdtPr>
      <w:sdtEndPr>
        <w:rPr>
          <w:b/>
          <w:bCs/>
        </w:rPr>
      </w:sdtEndPr>
      <w:sdtContent>
        <w:p w14:paraId="6F61D80C" w14:textId="23547A9F" w:rsidR="001B7007" w:rsidRPr="00DC34BB" w:rsidRDefault="001B7007">
          <w:pPr>
            <w:pStyle w:val="TOCHeading"/>
            <w:rPr>
              <w:lang w:val="en-CA"/>
            </w:rPr>
          </w:pPr>
          <w:r w:rsidRPr="00DC34BB">
            <w:rPr>
              <w:lang w:val="en-CA"/>
            </w:rPr>
            <w:t>Table of Contents</w:t>
          </w:r>
        </w:p>
        <w:p w14:paraId="31A52700" w14:textId="7FDAC692" w:rsidR="001B7007" w:rsidRPr="00DC34BB" w:rsidRDefault="001B7007">
          <w:pPr>
            <w:pStyle w:val="TOC1"/>
            <w:rPr>
              <w:rFonts w:eastAsiaTheme="minorEastAsia"/>
              <w:noProof/>
              <w:lang w:eastAsia="en-CA"/>
            </w:rPr>
          </w:pPr>
          <w:r w:rsidRPr="00DC34BB">
            <w:fldChar w:fldCharType="begin"/>
          </w:r>
          <w:r w:rsidRPr="00DC34BB">
            <w:instrText xml:space="preserve"> TOC \o "1-3" \h \z \u </w:instrText>
          </w:r>
          <w:r w:rsidRPr="00DC34BB">
            <w:fldChar w:fldCharType="separate"/>
          </w:r>
          <w:hyperlink w:anchor="_Toc89615525" w:history="1">
            <w:r w:rsidRPr="00DC34BB">
              <w:rPr>
                <w:rStyle w:val="Hyperlink"/>
                <w:noProof/>
              </w:rPr>
              <w:t>Definitions and Acronyms</w:t>
            </w:r>
            <w:r w:rsidRPr="00DC34BB">
              <w:rPr>
                <w:noProof/>
                <w:webHidden/>
              </w:rPr>
              <w:tab/>
            </w:r>
            <w:r w:rsidRPr="00DC34BB">
              <w:rPr>
                <w:noProof/>
                <w:webHidden/>
              </w:rPr>
              <w:fldChar w:fldCharType="begin"/>
            </w:r>
            <w:r w:rsidRPr="00DC34BB">
              <w:rPr>
                <w:noProof/>
                <w:webHidden/>
              </w:rPr>
              <w:instrText xml:space="preserve"> PAGEREF _Toc89615525 \h </w:instrText>
            </w:r>
            <w:r w:rsidRPr="00DC34BB">
              <w:rPr>
                <w:noProof/>
                <w:webHidden/>
              </w:rPr>
            </w:r>
            <w:r w:rsidRPr="00DC34BB">
              <w:rPr>
                <w:noProof/>
                <w:webHidden/>
              </w:rPr>
              <w:fldChar w:fldCharType="separate"/>
            </w:r>
            <w:r w:rsidR="0083049D">
              <w:rPr>
                <w:noProof/>
                <w:webHidden/>
              </w:rPr>
              <w:t>1</w:t>
            </w:r>
            <w:r w:rsidRPr="00DC34BB">
              <w:rPr>
                <w:noProof/>
                <w:webHidden/>
              </w:rPr>
              <w:fldChar w:fldCharType="end"/>
            </w:r>
          </w:hyperlink>
        </w:p>
        <w:p w14:paraId="27D5F31F" w14:textId="14C42897" w:rsidR="001B7007" w:rsidRPr="00DC34BB" w:rsidRDefault="003F66EE">
          <w:pPr>
            <w:pStyle w:val="TOC1"/>
            <w:tabs>
              <w:tab w:val="left" w:pos="660"/>
            </w:tabs>
            <w:rPr>
              <w:rFonts w:eastAsiaTheme="minorEastAsia"/>
              <w:noProof/>
              <w:lang w:eastAsia="en-CA"/>
            </w:rPr>
          </w:pPr>
          <w:hyperlink w:anchor="_Toc89615526" w:history="1">
            <w:r w:rsidR="001B7007" w:rsidRPr="00DC34BB">
              <w:rPr>
                <w:rStyle w:val="Hyperlink"/>
                <w:rFonts w:ascii="Calibri" w:hAnsi="Calibri"/>
                <w:noProof/>
              </w:rPr>
              <w:t>1.0</w:t>
            </w:r>
            <w:r w:rsidR="001B7007" w:rsidRPr="00DC34BB">
              <w:rPr>
                <w:rFonts w:eastAsiaTheme="minorEastAsia"/>
                <w:noProof/>
                <w:lang w:eastAsia="en-CA"/>
              </w:rPr>
              <w:tab/>
            </w:r>
            <w:r w:rsidR="001B7007" w:rsidRPr="00DC34BB">
              <w:rPr>
                <w:rStyle w:val="Hyperlink"/>
                <w:noProof/>
              </w:rPr>
              <w:t>Introduction</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_Toc89615526 \h </w:instrText>
            </w:r>
            <w:r w:rsidR="001B7007" w:rsidRPr="00DC34BB">
              <w:rPr>
                <w:noProof/>
                <w:webHidden/>
              </w:rPr>
            </w:r>
            <w:r w:rsidR="001B7007" w:rsidRPr="00DC34BB">
              <w:rPr>
                <w:noProof/>
                <w:webHidden/>
              </w:rPr>
              <w:fldChar w:fldCharType="separate"/>
            </w:r>
            <w:r w:rsidR="0083049D">
              <w:rPr>
                <w:noProof/>
                <w:webHidden/>
              </w:rPr>
              <w:t>4</w:t>
            </w:r>
            <w:r w:rsidR="001B7007" w:rsidRPr="00DC34BB">
              <w:rPr>
                <w:noProof/>
                <w:webHidden/>
              </w:rPr>
              <w:fldChar w:fldCharType="end"/>
            </w:r>
          </w:hyperlink>
        </w:p>
        <w:p w14:paraId="55DCAC5D" w14:textId="752E1714" w:rsidR="001B7007" w:rsidRPr="00DC34BB" w:rsidRDefault="003F66EE">
          <w:pPr>
            <w:pStyle w:val="TOC2"/>
            <w:tabs>
              <w:tab w:val="left" w:pos="880"/>
              <w:tab w:val="right" w:leader="dot" w:pos="9350"/>
            </w:tabs>
            <w:rPr>
              <w:rFonts w:eastAsiaTheme="minorEastAsia"/>
              <w:noProof/>
              <w:lang w:eastAsia="en-CA"/>
            </w:rPr>
          </w:pPr>
          <w:hyperlink w:anchor="_Toc89615527" w:history="1">
            <w:r w:rsidR="001B7007" w:rsidRPr="00DC34BB">
              <w:rPr>
                <w:rStyle w:val="Hyperlink"/>
                <w:rFonts w:ascii="Calibri" w:hAnsi="Calibri"/>
                <w:noProof/>
              </w:rPr>
              <w:t>1.1</w:t>
            </w:r>
            <w:r w:rsidR="001B7007" w:rsidRPr="00DC34BB">
              <w:rPr>
                <w:rFonts w:eastAsiaTheme="minorEastAsia"/>
                <w:noProof/>
                <w:lang w:eastAsia="en-CA"/>
              </w:rPr>
              <w:tab/>
            </w:r>
            <w:r w:rsidR="001B7007" w:rsidRPr="00DC34BB">
              <w:rPr>
                <w:rStyle w:val="Hyperlink"/>
                <w:noProof/>
              </w:rPr>
              <w:t>Purpose of this Policy</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_Toc89615527 \h </w:instrText>
            </w:r>
            <w:r w:rsidR="001B7007" w:rsidRPr="00DC34BB">
              <w:rPr>
                <w:noProof/>
                <w:webHidden/>
              </w:rPr>
            </w:r>
            <w:r w:rsidR="001B7007" w:rsidRPr="00DC34BB">
              <w:rPr>
                <w:noProof/>
                <w:webHidden/>
              </w:rPr>
              <w:fldChar w:fldCharType="separate"/>
            </w:r>
            <w:r w:rsidR="0083049D">
              <w:rPr>
                <w:noProof/>
                <w:webHidden/>
              </w:rPr>
              <w:t>4</w:t>
            </w:r>
            <w:r w:rsidR="001B7007" w:rsidRPr="00DC34BB">
              <w:rPr>
                <w:noProof/>
                <w:webHidden/>
              </w:rPr>
              <w:fldChar w:fldCharType="end"/>
            </w:r>
          </w:hyperlink>
        </w:p>
        <w:p w14:paraId="0DCD418B" w14:textId="7B0AC420" w:rsidR="001B7007" w:rsidRPr="00DC34BB" w:rsidRDefault="003F66EE">
          <w:pPr>
            <w:pStyle w:val="TOC2"/>
            <w:tabs>
              <w:tab w:val="left" w:pos="880"/>
              <w:tab w:val="right" w:leader="dot" w:pos="9350"/>
            </w:tabs>
            <w:rPr>
              <w:rFonts w:eastAsiaTheme="minorEastAsia"/>
              <w:noProof/>
              <w:lang w:eastAsia="en-CA"/>
            </w:rPr>
          </w:pPr>
          <w:hyperlink w:anchor="_Toc89615528" w:history="1">
            <w:r w:rsidR="001B7007" w:rsidRPr="00DC34BB">
              <w:rPr>
                <w:rStyle w:val="Hyperlink"/>
                <w:rFonts w:ascii="Calibri" w:hAnsi="Calibri"/>
                <w:noProof/>
              </w:rPr>
              <w:t>1.2</w:t>
            </w:r>
            <w:r w:rsidR="001B7007" w:rsidRPr="00DC34BB">
              <w:rPr>
                <w:rFonts w:eastAsiaTheme="minorEastAsia"/>
                <w:noProof/>
                <w:lang w:eastAsia="en-CA"/>
              </w:rPr>
              <w:tab/>
            </w:r>
            <w:r w:rsidR="001B7007" w:rsidRPr="00DC34BB">
              <w:rPr>
                <w:rStyle w:val="Hyperlink"/>
                <w:noProof/>
              </w:rPr>
              <w:t>Authority</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_Toc89615528 \h </w:instrText>
            </w:r>
            <w:r w:rsidR="001B7007" w:rsidRPr="00DC34BB">
              <w:rPr>
                <w:noProof/>
                <w:webHidden/>
              </w:rPr>
            </w:r>
            <w:r w:rsidR="001B7007" w:rsidRPr="00DC34BB">
              <w:rPr>
                <w:noProof/>
                <w:webHidden/>
              </w:rPr>
              <w:fldChar w:fldCharType="separate"/>
            </w:r>
            <w:r w:rsidR="0083049D">
              <w:rPr>
                <w:noProof/>
                <w:webHidden/>
              </w:rPr>
              <w:t>5</w:t>
            </w:r>
            <w:r w:rsidR="001B7007" w:rsidRPr="00DC34BB">
              <w:rPr>
                <w:noProof/>
                <w:webHidden/>
              </w:rPr>
              <w:fldChar w:fldCharType="end"/>
            </w:r>
          </w:hyperlink>
        </w:p>
        <w:p w14:paraId="165833E3" w14:textId="7D650170" w:rsidR="001B7007" w:rsidRPr="00DC34BB" w:rsidRDefault="003F66EE">
          <w:pPr>
            <w:pStyle w:val="TOC2"/>
            <w:tabs>
              <w:tab w:val="left" w:pos="880"/>
              <w:tab w:val="right" w:leader="dot" w:pos="9350"/>
            </w:tabs>
            <w:rPr>
              <w:rFonts w:eastAsiaTheme="minorEastAsia"/>
              <w:noProof/>
              <w:lang w:eastAsia="en-CA"/>
            </w:rPr>
          </w:pPr>
          <w:hyperlink w:anchor="_Toc89615529" w:history="1">
            <w:r w:rsidR="001B7007" w:rsidRPr="00DC34BB">
              <w:rPr>
                <w:rStyle w:val="Hyperlink"/>
                <w:rFonts w:ascii="Calibri" w:hAnsi="Calibri"/>
                <w:noProof/>
              </w:rPr>
              <w:t>1.3</w:t>
            </w:r>
            <w:r w:rsidR="001B7007" w:rsidRPr="00DC34BB">
              <w:rPr>
                <w:rFonts w:eastAsiaTheme="minorEastAsia"/>
                <w:noProof/>
                <w:lang w:eastAsia="en-CA"/>
              </w:rPr>
              <w:tab/>
            </w:r>
            <w:r w:rsidR="001B7007" w:rsidRPr="00DC34BB">
              <w:rPr>
                <w:rStyle w:val="Hyperlink"/>
                <w:noProof/>
              </w:rPr>
              <w:t>How this Policy Was Developed</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_Toc89615529 \h </w:instrText>
            </w:r>
            <w:r w:rsidR="001B7007" w:rsidRPr="00DC34BB">
              <w:rPr>
                <w:noProof/>
                <w:webHidden/>
              </w:rPr>
            </w:r>
            <w:r w:rsidR="001B7007" w:rsidRPr="00DC34BB">
              <w:rPr>
                <w:noProof/>
                <w:webHidden/>
              </w:rPr>
              <w:fldChar w:fldCharType="separate"/>
            </w:r>
            <w:r w:rsidR="0083049D">
              <w:rPr>
                <w:noProof/>
                <w:webHidden/>
              </w:rPr>
              <w:t>5</w:t>
            </w:r>
            <w:r w:rsidR="001B7007" w:rsidRPr="00DC34BB">
              <w:rPr>
                <w:noProof/>
                <w:webHidden/>
              </w:rPr>
              <w:fldChar w:fldCharType="end"/>
            </w:r>
          </w:hyperlink>
        </w:p>
        <w:p w14:paraId="50CB3C64" w14:textId="344033FA" w:rsidR="001B7007" w:rsidRPr="00DC34BB" w:rsidRDefault="003F66EE">
          <w:pPr>
            <w:pStyle w:val="TOC2"/>
            <w:tabs>
              <w:tab w:val="left" w:pos="880"/>
              <w:tab w:val="right" w:leader="dot" w:pos="9350"/>
            </w:tabs>
            <w:rPr>
              <w:rFonts w:eastAsiaTheme="minorEastAsia"/>
              <w:noProof/>
              <w:lang w:eastAsia="en-CA"/>
            </w:rPr>
          </w:pPr>
          <w:hyperlink w:anchor="_Toc89615530" w:history="1">
            <w:r w:rsidR="001B7007" w:rsidRPr="00DC34BB">
              <w:rPr>
                <w:rStyle w:val="Hyperlink"/>
                <w:rFonts w:ascii="Calibri" w:hAnsi="Calibri"/>
                <w:noProof/>
              </w:rPr>
              <w:t>1.4</w:t>
            </w:r>
            <w:r w:rsidR="001B7007" w:rsidRPr="00DC34BB">
              <w:rPr>
                <w:rFonts w:eastAsiaTheme="minorEastAsia"/>
                <w:noProof/>
                <w:lang w:eastAsia="en-CA"/>
              </w:rPr>
              <w:tab/>
            </w:r>
            <w:r w:rsidR="001B7007" w:rsidRPr="00DC34BB">
              <w:rPr>
                <w:rStyle w:val="Hyperlink"/>
                <w:noProof/>
              </w:rPr>
              <w:t>Application of this Policy</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_Toc89615530 \h </w:instrText>
            </w:r>
            <w:r w:rsidR="001B7007" w:rsidRPr="00DC34BB">
              <w:rPr>
                <w:noProof/>
                <w:webHidden/>
              </w:rPr>
            </w:r>
            <w:r w:rsidR="001B7007" w:rsidRPr="00DC34BB">
              <w:rPr>
                <w:noProof/>
                <w:webHidden/>
              </w:rPr>
              <w:fldChar w:fldCharType="separate"/>
            </w:r>
            <w:r w:rsidR="0083049D">
              <w:rPr>
                <w:noProof/>
                <w:webHidden/>
              </w:rPr>
              <w:t>6</w:t>
            </w:r>
            <w:r w:rsidR="001B7007" w:rsidRPr="00DC34BB">
              <w:rPr>
                <w:noProof/>
                <w:webHidden/>
              </w:rPr>
              <w:fldChar w:fldCharType="end"/>
            </w:r>
          </w:hyperlink>
        </w:p>
        <w:p w14:paraId="1FD8B99F" w14:textId="775F10A0" w:rsidR="001B7007" w:rsidRPr="00DC34BB" w:rsidRDefault="003F66EE">
          <w:pPr>
            <w:pStyle w:val="TOC2"/>
            <w:tabs>
              <w:tab w:val="left" w:pos="880"/>
              <w:tab w:val="right" w:leader="dot" w:pos="9350"/>
            </w:tabs>
            <w:rPr>
              <w:rFonts w:eastAsiaTheme="minorEastAsia"/>
              <w:noProof/>
              <w:lang w:eastAsia="en-CA"/>
            </w:rPr>
          </w:pPr>
          <w:hyperlink w:anchor="_Toc89615531" w:history="1">
            <w:r w:rsidR="001B7007" w:rsidRPr="00DC34BB">
              <w:rPr>
                <w:rStyle w:val="Hyperlink"/>
                <w:rFonts w:ascii="Calibri" w:hAnsi="Calibri"/>
                <w:noProof/>
              </w:rPr>
              <w:t>1.5</w:t>
            </w:r>
            <w:r w:rsidR="001B7007" w:rsidRPr="00DC34BB">
              <w:rPr>
                <w:rFonts w:eastAsiaTheme="minorEastAsia"/>
                <w:noProof/>
                <w:lang w:eastAsia="en-CA"/>
              </w:rPr>
              <w:tab/>
            </w:r>
            <w:r w:rsidR="001B7007" w:rsidRPr="00DC34BB">
              <w:rPr>
                <w:rStyle w:val="Hyperlink"/>
                <w:noProof/>
              </w:rPr>
              <w:t>Measuring Performance and Reviewing the Policy</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_Toc89615531 \h </w:instrText>
            </w:r>
            <w:r w:rsidR="001B7007" w:rsidRPr="00DC34BB">
              <w:rPr>
                <w:noProof/>
                <w:webHidden/>
              </w:rPr>
            </w:r>
            <w:r w:rsidR="001B7007" w:rsidRPr="00DC34BB">
              <w:rPr>
                <w:noProof/>
                <w:webHidden/>
              </w:rPr>
              <w:fldChar w:fldCharType="separate"/>
            </w:r>
            <w:r w:rsidR="0083049D">
              <w:rPr>
                <w:noProof/>
                <w:webHidden/>
              </w:rPr>
              <w:t>7</w:t>
            </w:r>
            <w:r w:rsidR="001B7007" w:rsidRPr="00DC34BB">
              <w:rPr>
                <w:noProof/>
                <w:webHidden/>
              </w:rPr>
              <w:fldChar w:fldCharType="end"/>
            </w:r>
          </w:hyperlink>
        </w:p>
        <w:p w14:paraId="5855D4D0" w14:textId="7FD9B0D7" w:rsidR="001B7007" w:rsidRPr="00DC34BB" w:rsidRDefault="003F66EE">
          <w:pPr>
            <w:pStyle w:val="TOC1"/>
            <w:tabs>
              <w:tab w:val="left" w:pos="660"/>
            </w:tabs>
            <w:rPr>
              <w:rFonts w:eastAsiaTheme="minorEastAsia"/>
              <w:noProof/>
              <w:lang w:eastAsia="en-CA"/>
            </w:rPr>
          </w:pPr>
          <w:hyperlink w:anchor="_Toc89615532" w:history="1">
            <w:r w:rsidR="001B7007" w:rsidRPr="00DC34BB">
              <w:rPr>
                <w:rStyle w:val="Hyperlink"/>
                <w:rFonts w:ascii="Calibri" w:hAnsi="Calibri"/>
                <w:noProof/>
              </w:rPr>
              <w:t>2.0</w:t>
            </w:r>
            <w:r w:rsidR="001B7007" w:rsidRPr="00DC34BB">
              <w:rPr>
                <w:rFonts w:eastAsiaTheme="minorEastAsia"/>
                <w:noProof/>
                <w:lang w:eastAsia="en-CA"/>
              </w:rPr>
              <w:tab/>
            </w:r>
            <w:r w:rsidR="001B7007" w:rsidRPr="00DC34BB">
              <w:rPr>
                <w:rStyle w:val="Hyperlink"/>
                <w:noProof/>
              </w:rPr>
              <w:t>Guiding Principles</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_Toc89615532 \h </w:instrText>
            </w:r>
            <w:r w:rsidR="001B7007" w:rsidRPr="00DC34BB">
              <w:rPr>
                <w:noProof/>
                <w:webHidden/>
              </w:rPr>
            </w:r>
            <w:r w:rsidR="001B7007" w:rsidRPr="00DC34BB">
              <w:rPr>
                <w:noProof/>
                <w:webHidden/>
              </w:rPr>
              <w:fldChar w:fldCharType="separate"/>
            </w:r>
            <w:r w:rsidR="0083049D">
              <w:rPr>
                <w:noProof/>
                <w:webHidden/>
              </w:rPr>
              <w:t>7</w:t>
            </w:r>
            <w:r w:rsidR="001B7007" w:rsidRPr="00DC34BB">
              <w:rPr>
                <w:noProof/>
                <w:webHidden/>
              </w:rPr>
              <w:fldChar w:fldCharType="end"/>
            </w:r>
          </w:hyperlink>
        </w:p>
        <w:p w14:paraId="6FD21769" w14:textId="3600D584" w:rsidR="001B7007" w:rsidRPr="00DC34BB" w:rsidRDefault="003F66EE">
          <w:pPr>
            <w:pStyle w:val="TOC1"/>
            <w:tabs>
              <w:tab w:val="left" w:pos="660"/>
            </w:tabs>
            <w:rPr>
              <w:rFonts w:eastAsiaTheme="minorEastAsia"/>
              <w:noProof/>
              <w:lang w:eastAsia="en-CA"/>
            </w:rPr>
          </w:pPr>
          <w:hyperlink w:anchor="_Toc89615533" w:history="1">
            <w:r w:rsidR="001B7007" w:rsidRPr="00DC34BB">
              <w:rPr>
                <w:rStyle w:val="Hyperlink"/>
                <w:rFonts w:ascii="Calibri" w:hAnsi="Calibri"/>
                <w:noProof/>
              </w:rPr>
              <w:t>3.0</w:t>
            </w:r>
            <w:r w:rsidR="001B7007" w:rsidRPr="00DC34BB">
              <w:rPr>
                <w:rFonts w:eastAsiaTheme="minorEastAsia"/>
                <w:noProof/>
                <w:lang w:eastAsia="en-CA"/>
              </w:rPr>
              <w:tab/>
            </w:r>
            <w:r w:rsidR="001B7007" w:rsidRPr="00DC34BB">
              <w:rPr>
                <w:rStyle w:val="Hyperlink"/>
                <w:noProof/>
              </w:rPr>
              <w:t>Objectives for Regulating the Deposit of Waste</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_Toc89615533 \h </w:instrText>
            </w:r>
            <w:r w:rsidR="001B7007" w:rsidRPr="00DC34BB">
              <w:rPr>
                <w:noProof/>
                <w:webHidden/>
              </w:rPr>
            </w:r>
            <w:r w:rsidR="001B7007" w:rsidRPr="00DC34BB">
              <w:rPr>
                <w:noProof/>
                <w:webHidden/>
              </w:rPr>
              <w:fldChar w:fldCharType="separate"/>
            </w:r>
            <w:r w:rsidR="0083049D">
              <w:rPr>
                <w:noProof/>
                <w:webHidden/>
              </w:rPr>
              <w:t>7</w:t>
            </w:r>
            <w:r w:rsidR="001B7007" w:rsidRPr="00DC34BB">
              <w:rPr>
                <w:noProof/>
                <w:webHidden/>
              </w:rPr>
              <w:fldChar w:fldCharType="end"/>
            </w:r>
          </w:hyperlink>
        </w:p>
        <w:p w14:paraId="69D90DE7" w14:textId="28A27EFC" w:rsidR="001B7007" w:rsidRPr="00DC34BB" w:rsidRDefault="003F66EE">
          <w:pPr>
            <w:pStyle w:val="TOC1"/>
            <w:tabs>
              <w:tab w:val="left" w:pos="660"/>
            </w:tabs>
            <w:rPr>
              <w:rFonts w:eastAsiaTheme="minorEastAsia"/>
              <w:noProof/>
              <w:lang w:eastAsia="en-CA"/>
            </w:rPr>
          </w:pPr>
          <w:hyperlink w:anchor="_Toc89615534" w:history="1">
            <w:r w:rsidR="001B7007" w:rsidRPr="00DC34BB">
              <w:rPr>
                <w:rStyle w:val="Hyperlink"/>
                <w:rFonts w:ascii="Calibri" w:hAnsi="Calibri"/>
                <w:noProof/>
              </w:rPr>
              <w:t>4.0</w:t>
            </w:r>
            <w:r w:rsidR="001B7007" w:rsidRPr="00DC34BB">
              <w:rPr>
                <w:rFonts w:eastAsiaTheme="minorEastAsia"/>
                <w:noProof/>
                <w:lang w:eastAsia="en-CA"/>
              </w:rPr>
              <w:tab/>
            </w:r>
            <w:r w:rsidR="001B7007" w:rsidRPr="00DC34BB">
              <w:rPr>
                <w:rStyle w:val="Hyperlink"/>
                <w:noProof/>
              </w:rPr>
              <w:t>Typical Licence and Permit Requirements Used to Regulate the Deposit of Waste</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_Toc89615534 \h </w:instrText>
            </w:r>
            <w:r w:rsidR="001B7007" w:rsidRPr="00DC34BB">
              <w:rPr>
                <w:noProof/>
                <w:webHidden/>
              </w:rPr>
            </w:r>
            <w:r w:rsidR="001B7007" w:rsidRPr="00DC34BB">
              <w:rPr>
                <w:noProof/>
                <w:webHidden/>
              </w:rPr>
              <w:fldChar w:fldCharType="separate"/>
            </w:r>
            <w:r w:rsidR="0083049D">
              <w:rPr>
                <w:noProof/>
                <w:webHidden/>
              </w:rPr>
              <w:t>9</w:t>
            </w:r>
            <w:r w:rsidR="001B7007" w:rsidRPr="00DC34BB">
              <w:rPr>
                <w:noProof/>
                <w:webHidden/>
              </w:rPr>
              <w:fldChar w:fldCharType="end"/>
            </w:r>
          </w:hyperlink>
        </w:p>
        <w:p w14:paraId="46F75360" w14:textId="260E3038" w:rsidR="001B7007" w:rsidRPr="00DC34BB" w:rsidRDefault="003F66EE">
          <w:pPr>
            <w:pStyle w:val="TOC2"/>
            <w:tabs>
              <w:tab w:val="left" w:pos="880"/>
              <w:tab w:val="right" w:leader="dot" w:pos="9350"/>
            </w:tabs>
            <w:rPr>
              <w:rFonts w:eastAsiaTheme="minorEastAsia"/>
              <w:noProof/>
              <w:lang w:eastAsia="en-CA"/>
            </w:rPr>
          </w:pPr>
          <w:hyperlink w:anchor="_Toc89615535" w:history="1">
            <w:r w:rsidR="001B7007" w:rsidRPr="00DC34BB">
              <w:rPr>
                <w:rStyle w:val="Hyperlink"/>
                <w:rFonts w:ascii="Calibri" w:hAnsi="Calibri"/>
                <w:noProof/>
              </w:rPr>
              <w:t>4.1</w:t>
            </w:r>
            <w:r w:rsidR="001B7007" w:rsidRPr="00DC34BB">
              <w:rPr>
                <w:rFonts w:eastAsiaTheme="minorEastAsia"/>
                <w:noProof/>
                <w:lang w:eastAsia="en-CA"/>
              </w:rPr>
              <w:tab/>
            </w:r>
            <w:r w:rsidR="001B7007" w:rsidRPr="00DC34BB">
              <w:rPr>
                <w:rStyle w:val="Hyperlink"/>
                <w:noProof/>
              </w:rPr>
              <w:t>Waste Management Practices</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_Toc89615535 \h </w:instrText>
            </w:r>
            <w:r w:rsidR="001B7007" w:rsidRPr="00DC34BB">
              <w:rPr>
                <w:noProof/>
                <w:webHidden/>
              </w:rPr>
            </w:r>
            <w:r w:rsidR="001B7007" w:rsidRPr="00DC34BB">
              <w:rPr>
                <w:noProof/>
                <w:webHidden/>
              </w:rPr>
              <w:fldChar w:fldCharType="separate"/>
            </w:r>
            <w:r w:rsidR="0083049D">
              <w:rPr>
                <w:noProof/>
                <w:webHidden/>
              </w:rPr>
              <w:t>9</w:t>
            </w:r>
            <w:r w:rsidR="001B7007" w:rsidRPr="00DC34BB">
              <w:rPr>
                <w:noProof/>
                <w:webHidden/>
              </w:rPr>
              <w:fldChar w:fldCharType="end"/>
            </w:r>
          </w:hyperlink>
        </w:p>
        <w:p w14:paraId="19465867" w14:textId="13EF7F4B" w:rsidR="001B7007" w:rsidRPr="00DC34BB" w:rsidRDefault="003F66EE">
          <w:pPr>
            <w:pStyle w:val="TOC2"/>
            <w:tabs>
              <w:tab w:val="left" w:pos="880"/>
              <w:tab w:val="right" w:leader="dot" w:pos="9350"/>
            </w:tabs>
            <w:rPr>
              <w:rFonts w:eastAsiaTheme="minorEastAsia"/>
              <w:noProof/>
              <w:lang w:eastAsia="en-CA"/>
            </w:rPr>
          </w:pPr>
          <w:hyperlink w:anchor="_Toc89615536" w:history="1">
            <w:r w:rsidR="001B7007" w:rsidRPr="00DC34BB">
              <w:rPr>
                <w:rStyle w:val="Hyperlink"/>
                <w:rFonts w:ascii="Calibri" w:hAnsi="Calibri"/>
                <w:noProof/>
              </w:rPr>
              <w:t>4.2</w:t>
            </w:r>
            <w:r w:rsidR="001B7007" w:rsidRPr="00DC34BB">
              <w:rPr>
                <w:rFonts w:eastAsiaTheme="minorEastAsia"/>
                <w:noProof/>
                <w:lang w:eastAsia="en-CA"/>
              </w:rPr>
              <w:tab/>
            </w:r>
            <w:r w:rsidR="001B7007" w:rsidRPr="00DC34BB">
              <w:rPr>
                <w:rStyle w:val="Hyperlink"/>
                <w:noProof/>
              </w:rPr>
              <w:t>Management Plans</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_Toc89615536 \h </w:instrText>
            </w:r>
            <w:r w:rsidR="001B7007" w:rsidRPr="00DC34BB">
              <w:rPr>
                <w:noProof/>
                <w:webHidden/>
              </w:rPr>
            </w:r>
            <w:r w:rsidR="001B7007" w:rsidRPr="00DC34BB">
              <w:rPr>
                <w:noProof/>
                <w:webHidden/>
              </w:rPr>
              <w:fldChar w:fldCharType="separate"/>
            </w:r>
            <w:r w:rsidR="0083049D">
              <w:rPr>
                <w:noProof/>
                <w:webHidden/>
              </w:rPr>
              <w:t>9</w:t>
            </w:r>
            <w:r w:rsidR="001B7007" w:rsidRPr="00DC34BB">
              <w:rPr>
                <w:noProof/>
                <w:webHidden/>
              </w:rPr>
              <w:fldChar w:fldCharType="end"/>
            </w:r>
          </w:hyperlink>
        </w:p>
        <w:p w14:paraId="3ABA28AE" w14:textId="69D5B7AA" w:rsidR="001B7007" w:rsidRPr="00DC34BB" w:rsidRDefault="003F66EE">
          <w:pPr>
            <w:pStyle w:val="TOC2"/>
            <w:tabs>
              <w:tab w:val="left" w:pos="880"/>
              <w:tab w:val="right" w:leader="dot" w:pos="9350"/>
            </w:tabs>
            <w:rPr>
              <w:rFonts w:eastAsiaTheme="minorEastAsia"/>
              <w:noProof/>
              <w:lang w:eastAsia="en-CA"/>
            </w:rPr>
          </w:pPr>
          <w:hyperlink w:anchor="_Toc89615537" w:history="1">
            <w:r w:rsidR="001B7007" w:rsidRPr="00DC34BB">
              <w:rPr>
                <w:rStyle w:val="Hyperlink"/>
                <w:rFonts w:ascii="Calibri" w:hAnsi="Calibri"/>
                <w:noProof/>
              </w:rPr>
              <w:t>4.3</w:t>
            </w:r>
            <w:r w:rsidR="001B7007" w:rsidRPr="00DC34BB">
              <w:rPr>
                <w:rFonts w:eastAsiaTheme="minorEastAsia"/>
                <w:noProof/>
                <w:lang w:eastAsia="en-CA"/>
              </w:rPr>
              <w:tab/>
            </w:r>
            <w:r w:rsidR="001B7007" w:rsidRPr="00DC34BB">
              <w:rPr>
                <w:rStyle w:val="Hyperlink"/>
                <w:noProof/>
              </w:rPr>
              <w:t>Discharge Criteria in Licences</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_Toc89615537 \h </w:instrText>
            </w:r>
            <w:r w:rsidR="001B7007" w:rsidRPr="00DC34BB">
              <w:rPr>
                <w:noProof/>
                <w:webHidden/>
              </w:rPr>
            </w:r>
            <w:r w:rsidR="001B7007" w:rsidRPr="00DC34BB">
              <w:rPr>
                <w:noProof/>
                <w:webHidden/>
              </w:rPr>
              <w:fldChar w:fldCharType="separate"/>
            </w:r>
            <w:r w:rsidR="0083049D">
              <w:rPr>
                <w:noProof/>
                <w:webHidden/>
              </w:rPr>
              <w:t>10</w:t>
            </w:r>
            <w:r w:rsidR="001B7007" w:rsidRPr="00DC34BB">
              <w:rPr>
                <w:noProof/>
                <w:webHidden/>
              </w:rPr>
              <w:fldChar w:fldCharType="end"/>
            </w:r>
          </w:hyperlink>
        </w:p>
        <w:p w14:paraId="12B77D12" w14:textId="134A52A3" w:rsidR="001B7007" w:rsidRPr="00DC34BB" w:rsidRDefault="003F66EE">
          <w:pPr>
            <w:pStyle w:val="TOC2"/>
            <w:tabs>
              <w:tab w:val="left" w:pos="880"/>
              <w:tab w:val="right" w:leader="dot" w:pos="9350"/>
            </w:tabs>
            <w:rPr>
              <w:rFonts w:eastAsiaTheme="minorEastAsia"/>
              <w:noProof/>
              <w:lang w:eastAsia="en-CA"/>
            </w:rPr>
          </w:pPr>
          <w:hyperlink w:anchor="_Toc89615538" w:history="1">
            <w:r w:rsidR="001B7007" w:rsidRPr="00DC34BB">
              <w:rPr>
                <w:rStyle w:val="Hyperlink"/>
                <w:rFonts w:ascii="Calibri" w:hAnsi="Calibri"/>
                <w:noProof/>
              </w:rPr>
              <w:t>4.4</w:t>
            </w:r>
            <w:r w:rsidR="001B7007" w:rsidRPr="00DC34BB">
              <w:rPr>
                <w:rFonts w:eastAsiaTheme="minorEastAsia"/>
                <w:noProof/>
                <w:lang w:eastAsia="en-CA"/>
              </w:rPr>
              <w:tab/>
            </w:r>
            <w:r w:rsidR="001B7007" w:rsidRPr="00DC34BB">
              <w:rPr>
                <w:rStyle w:val="Hyperlink"/>
                <w:noProof/>
              </w:rPr>
              <w:t>Monitoring Requirements</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_Toc89615538 \h </w:instrText>
            </w:r>
            <w:r w:rsidR="001B7007" w:rsidRPr="00DC34BB">
              <w:rPr>
                <w:noProof/>
                <w:webHidden/>
              </w:rPr>
            </w:r>
            <w:r w:rsidR="001B7007" w:rsidRPr="00DC34BB">
              <w:rPr>
                <w:noProof/>
                <w:webHidden/>
              </w:rPr>
              <w:fldChar w:fldCharType="separate"/>
            </w:r>
            <w:r w:rsidR="0083049D">
              <w:rPr>
                <w:noProof/>
                <w:webHidden/>
              </w:rPr>
              <w:t>12</w:t>
            </w:r>
            <w:r w:rsidR="001B7007" w:rsidRPr="00DC34BB">
              <w:rPr>
                <w:noProof/>
                <w:webHidden/>
              </w:rPr>
              <w:fldChar w:fldCharType="end"/>
            </w:r>
          </w:hyperlink>
        </w:p>
        <w:p w14:paraId="2445D78F" w14:textId="6EB07ED8" w:rsidR="001B7007" w:rsidRPr="00DC34BB" w:rsidRDefault="003F66EE">
          <w:pPr>
            <w:pStyle w:val="TOC2"/>
            <w:tabs>
              <w:tab w:val="left" w:pos="880"/>
              <w:tab w:val="right" w:leader="dot" w:pos="9350"/>
            </w:tabs>
            <w:rPr>
              <w:rFonts w:eastAsiaTheme="minorEastAsia"/>
              <w:noProof/>
              <w:lang w:eastAsia="en-CA"/>
            </w:rPr>
          </w:pPr>
          <w:hyperlink w:anchor="_Toc89615539" w:history="1">
            <w:r w:rsidR="001B7007" w:rsidRPr="00DC34BB">
              <w:rPr>
                <w:rStyle w:val="Hyperlink"/>
                <w:rFonts w:ascii="Calibri" w:hAnsi="Calibri"/>
                <w:noProof/>
              </w:rPr>
              <w:t>4.5</w:t>
            </w:r>
            <w:r w:rsidR="001B7007" w:rsidRPr="00DC34BB">
              <w:rPr>
                <w:rFonts w:eastAsiaTheme="minorEastAsia"/>
                <w:noProof/>
                <w:lang w:eastAsia="en-CA"/>
              </w:rPr>
              <w:tab/>
            </w:r>
            <w:r w:rsidR="001B7007" w:rsidRPr="00DC34BB">
              <w:rPr>
                <w:rStyle w:val="Hyperlink"/>
                <w:noProof/>
              </w:rPr>
              <w:t>Adaptive Management</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_Toc89615539 \h </w:instrText>
            </w:r>
            <w:r w:rsidR="001B7007" w:rsidRPr="00DC34BB">
              <w:rPr>
                <w:noProof/>
                <w:webHidden/>
              </w:rPr>
            </w:r>
            <w:r w:rsidR="001B7007" w:rsidRPr="00DC34BB">
              <w:rPr>
                <w:noProof/>
                <w:webHidden/>
              </w:rPr>
              <w:fldChar w:fldCharType="separate"/>
            </w:r>
            <w:r w:rsidR="0083049D">
              <w:rPr>
                <w:noProof/>
                <w:webHidden/>
              </w:rPr>
              <w:t>14</w:t>
            </w:r>
            <w:r w:rsidR="001B7007" w:rsidRPr="00DC34BB">
              <w:rPr>
                <w:noProof/>
                <w:webHidden/>
              </w:rPr>
              <w:fldChar w:fldCharType="end"/>
            </w:r>
          </w:hyperlink>
        </w:p>
        <w:p w14:paraId="266B4F62" w14:textId="4AED36DE" w:rsidR="001B7007" w:rsidRPr="00DC34BB" w:rsidRDefault="003F66EE">
          <w:pPr>
            <w:pStyle w:val="TOC1"/>
            <w:tabs>
              <w:tab w:val="left" w:pos="660"/>
            </w:tabs>
            <w:rPr>
              <w:rFonts w:eastAsiaTheme="minorEastAsia"/>
              <w:noProof/>
              <w:lang w:eastAsia="en-CA"/>
            </w:rPr>
          </w:pPr>
          <w:hyperlink w:anchor="_Toc89615541" w:history="1">
            <w:r w:rsidR="001B7007" w:rsidRPr="00DC34BB">
              <w:rPr>
                <w:rStyle w:val="Hyperlink"/>
                <w:rFonts w:ascii="Calibri" w:hAnsi="Calibri"/>
                <w:noProof/>
              </w:rPr>
              <w:t>5.0</w:t>
            </w:r>
            <w:r w:rsidR="001B7007" w:rsidRPr="00DC34BB">
              <w:rPr>
                <w:rFonts w:eastAsiaTheme="minorEastAsia"/>
                <w:noProof/>
                <w:lang w:eastAsia="en-CA"/>
              </w:rPr>
              <w:tab/>
            </w:r>
            <w:r w:rsidR="001B7007" w:rsidRPr="00DC34BB">
              <w:rPr>
                <w:rStyle w:val="Hyperlink"/>
                <w:noProof/>
              </w:rPr>
              <w:t>Information Required to Regulate the Deposit of Waste</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_Toc89615541 \h </w:instrText>
            </w:r>
            <w:r w:rsidR="001B7007" w:rsidRPr="00DC34BB">
              <w:rPr>
                <w:noProof/>
                <w:webHidden/>
              </w:rPr>
            </w:r>
            <w:r w:rsidR="001B7007" w:rsidRPr="00DC34BB">
              <w:rPr>
                <w:noProof/>
                <w:webHidden/>
              </w:rPr>
              <w:fldChar w:fldCharType="separate"/>
            </w:r>
            <w:r w:rsidR="0083049D">
              <w:rPr>
                <w:noProof/>
                <w:webHidden/>
              </w:rPr>
              <w:t>14</w:t>
            </w:r>
            <w:r w:rsidR="001B7007" w:rsidRPr="00DC34BB">
              <w:rPr>
                <w:noProof/>
                <w:webHidden/>
              </w:rPr>
              <w:fldChar w:fldCharType="end"/>
            </w:r>
          </w:hyperlink>
        </w:p>
        <w:p w14:paraId="7DD1328C" w14:textId="0F098986" w:rsidR="001B7007" w:rsidRPr="00DC34BB" w:rsidRDefault="003F66EE">
          <w:pPr>
            <w:pStyle w:val="TOC2"/>
            <w:tabs>
              <w:tab w:val="left" w:pos="880"/>
              <w:tab w:val="right" w:leader="dot" w:pos="9350"/>
            </w:tabs>
            <w:rPr>
              <w:rFonts w:eastAsiaTheme="minorEastAsia"/>
              <w:noProof/>
              <w:lang w:eastAsia="en-CA"/>
            </w:rPr>
          </w:pPr>
          <w:hyperlink w:anchor="_Toc89615542" w:history="1">
            <w:r w:rsidR="001B7007" w:rsidRPr="00DC34BB">
              <w:rPr>
                <w:rStyle w:val="Hyperlink"/>
                <w:rFonts w:ascii="Calibri" w:hAnsi="Calibri"/>
                <w:noProof/>
              </w:rPr>
              <w:t>5.1</w:t>
            </w:r>
            <w:r w:rsidR="001B7007" w:rsidRPr="00DC34BB">
              <w:rPr>
                <w:rFonts w:eastAsiaTheme="minorEastAsia"/>
                <w:noProof/>
                <w:lang w:eastAsia="en-CA"/>
              </w:rPr>
              <w:tab/>
            </w:r>
            <w:r w:rsidR="001B7007" w:rsidRPr="00DC34BB">
              <w:rPr>
                <w:rStyle w:val="Hyperlink"/>
                <w:noProof/>
              </w:rPr>
              <w:t>Information Required from Applicants</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_Toc89615542 \h </w:instrText>
            </w:r>
            <w:r w:rsidR="001B7007" w:rsidRPr="00DC34BB">
              <w:rPr>
                <w:noProof/>
                <w:webHidden/>
              </w:rPr>
            </w:r>
            <w:r w:rsidR="001B7007" w:rsidRPr="00DC34BB">
              <w:rPr>
                <w:noProof/>
                <w:webHidden/>
              </w:rPr>
              <w:fldChar w:fldCharType="separate"/>
            </w:r>
            <w:r w:rsidR="0083049D">
              <w:rPr>
                <w:noProof/>
                <w:webHidden/>
              </w:rPr>
              <w:t>14</w:t>
            </w:r>
            <w:r w:rsidR="001B7007" w:rsidRPr="00DC34BB">
              <w:rPr>
                <w:noProof/>
                <w:webHidden/>
              </w:rPr>
              <w:fldChar w:fldCharType="end"/>
            </w:r>
          </w:hyperlink>
        </w:p>
        <w:p w14:paraId="5D8D1DCB" w14:textId="1CCB57D3" w:rsidR="001B7007" w:rsidRPr="00DC34BB" w:rsidRDefault="003F66EE">
          <w:pPr>
            <w:pStyle w:val="TOC2"/>
            <w:tabs>
              <w:tab w:val="left" w:pos="880"/>
              <w:tab w:val="right" w:leader="dot" w:pos="9350"/>
            </w:tabs>
            <w:rPr>
              <w:rFonts w:eastAsiaTheme="minorEastAsia"/>
              <w:noProof/>
              <w:lang w:eastAsia="en-CA"/>
            </w:rPr>
          </w:pPr>
          <w:hyperlink w:anchor="_Toc89615544" w:history="1">
            <w:r w:rsidR="001B7007" w:rsidRPr="00DC34BB">
              <w:rPr>
                <w:rStyle w:val="Hyperlink"/>
                <w:rFonts w:ascii="Calibri" w:hAnsi="Calibri"/>
                <w:noProof/>
              </w:rPr>
              <w:t>5.2</w:t>
            </w:r>
            <w:r w:rsidR="001B7007" w:rsidRPr="00DC34BB">
              <w:rPr>
                <w:rFonts w:eastAsiaTheme="minorEastAsia"/>
                <w:noProof/>
                <w:lang w:eastAsia="en-CA"/>
              </w:rPr>
              <w:tab/>
            </w:r>
            <w:r w:rsidR="001B7007" w:rsidRPr="00DC34BB">
              <w:rPr>
                <w:rStyle w:val="Hyperlink"/>
                <w:noProof/>
              </w:rPr>
              <w:t>Consideration of Other Applicable Legislation</w:t>
            </w:r>
            <w:r w:rsidR="001B7007" w:rsidRPr="00DC34BB">
              <w:rPr>
                <w:noProof/>
                <w:webHidden/>
              </w:rPr>
              <w:tab/>
            </w:r>
            <w:r w:rsidR="001B7007" w:rsidRPr="00DC34BB">
              <w:rPr>
                <w:noProof/>
                <w:webHidden/>
              </w:rPr>
              <w:fldChar w:fldCharType="begin"/>
            </w:r>
            <w:r w:rsidR="001B7007" w:rsidRPr="00DC34BB">
              <w:rPr>
                <w:noProof/>
                <w:webHidden/>
              </w:rPr>
              <w:instrText xml:space="preserve"> PAGEREF _Toc89615544 \h </w:instrText>
            </w:r>
            <w:r w:rsidR="001B7007" w:rsidRPr="00DC34BB">
              <w:rPr>
                <w:noProof/>
                <w:webHidden/>
              </w:rPr>
            </w:r>
            <w:r w:rsidR="001B7007" w:rsidRPr="00DC34BB">
              <w:rPr>
                <w:noProof/>
                <w:webHidden/>
              </w:rPr>
              <w:fldChar w:fldCharType="separate"/>
            </w:r>
            <w:r w:rsidR="0083049D">
              <w:rPr>
                <w:noProof/>
                <w:webHidden/>
              </w:rPr>
              <w:t>16</w:t>
            </w:r>
            <w:r w:rsidR="001B7007" w:rsidRPr="00DC34BB">
              <w:rPr>
                <w:noProof/>
                <w:webHidden/>
              </w:rPr>
              <w:fldChar w:fldCharType="end"/>
            </w:r>
          </w:hyperlink>
        </w:p>
        <w:p w14:paraId="17AA3401" w14:textId="29685A14" w:rsidR="001B7007" w:rsidRPr="00DC34BB" w:rsidRDefault="001B7007">
          <w:r w:rsidRPr="00DC34BB">
            <w:rPr>
              <w:b/>
              <w:bCs/>
            </w:rPr>
            <w:fldChar w:fldCharType="end"/>
          </w:r>
        </w:p>
      </w:sdtContent>
    </w:sdt>
    <w:p w14:paraId="1A5A0C2F" w14:textId="77777777" w:rsidR="00E32886" w:rsidRPr="00DC34BB" w:rsidRDefault="00E32886" w:rsidP="0005280E">
      <w:pPr>
        <w:sectPr w:rsidR="00E32886" w:rsidRPr="00DC34BB" w:rsidSect="004F6010">
          <w:headerReference w:type="even" r:id="rId21"/>
          <w:headerReference w:type="default" r:id="rId22"/>
          <w:footerReference w:type="default" r:id="rId23"/>
          <w:headerReference w:type="first" r:id="rId24"/>
          <w:pgSz w:w="12240" w:h="15840"/>
          <w:pgMar w:top="1440" w:right="1440" w:bottom="1440" w:left="1440" w:header="720" w:footer="720" w:gutter="0"/>
          <w:pgNumType w:fmt="lowerRoman" w:start="1"/>
          <w:cols w:space="720"/>
          <w:docGrid w:linePitch="360"/>
        </w:sectPr>
      </w:pPr>
    </w:p>
    <w:p w14:paraId="28DF5DB7" w14:textId="10B903F3" w:rsidR="00E32886" w:rsidRPr="00DC34BB" w:rsidRDefault="00E32886" w:rsidP="00E32886">
      <w:pPr>
        <w:pStyle w:val="Heading1"/>
        <w:numPr>
          <w:ilvl w:val="0"/>
          <w:numId w:val="0"/>
        </w:numPr>
      </w:pPr>
      <w:bookmarkStart w:id="2" w:name="_Toc89615525"/>
      <w:commentRangeStart w:id="3"/>
      <w:r w:rsidRPr="00DC34BB">
        <w:lastRenderedPageBreak/>
        <w:t>Definitions and Acronyms</w:t>
      </w:r>
      <w:commentRangeEnd w:id="3"/>
      <w:r w:rsidR="00B9745F" w:rsidRPr="00DC34BB">
        <w:rPr>
          <w:rStyle w:val="CommentReference"/>
          <w:rFonts w:eastAsiaTheme="minorHAnsi" w:cstheme="minorBidi"/>
          <w:b w:val="0"/>
          <w:u w:val="none"/>
        </w:rPr>
        <w:commentReference w:id="3"/>
      </w:r>
      <w:bookmarkEnd w:id="2"/>
    </w:p>
    <w:tbl>
      <w:tblPr>
        <w:tblStyle w:val="TableGrid"/>
        <w:tblW w:w="9445" w:type="dxa"/>
        <w:tblLook w:val="04A0" w:firstRow="1" w:lastRow="0" w:firstColumn="1" w:lastColumn="0" w:noHBand="0" w:noVBand="1"/>
      </w:tblPr>
      <w:tblGrid>
        <w:gridCol w:w="3505"/>
        <w:gridCol w:w="5940"/>
      </w:tblGrid>
      <w:tr w:rsidR="00961356" w:rsidRPr="00DC34BB" w14:paraId="73BECC15" w14:textId="77777777" w:rsidTr="000E00BF">
        <w:tc>
          <w:tcPr>
            <w:tcW w:w="3505" w:type="dxa"/>
            <w:shd w:val="clear" w:color="auto" w:fill="B4C6E7" w:themeFill="accent1" w:themeFillTint="66"/>
            <w:vAlign w:val="center"/>
          </w:tcPr>
          <w:p w14:paraId="20797F77" w14:textId="32C28640" w:rsidR="00961356" w:rsidRPr="00DC34BB" w:rsidRDefault="00961356" w:rsidP="000E00BF">
            <w:pPr>
              <w:spacing w:after="0"/>
              <w:jc w:val="left"/>
              <w:rPr>
                <w:sz w:val="20"/>
                <w:szCs w:val="20"/>
              </w:rPr>
            </w:pPr>
            <w:r w:rsidRPr="00DC34BB">
              <w:rPr>
                <w:sz w:val="20"/>
                <w:szCs w:val="20"/>
              </w:rPr>
              <w:t>TERM</w:t>
            </w:r>
          </w:p>
        </w:tc>
        <w:tc>
          <w:tcPr>
            <w:tcW w:w="5940" w:type="dxa"/>
            <w:shd w:val="clear" w:color="auto" w:fill="B4C6E7" w:themeFill="accent1" w:themeFillTint="66"/>
            <w:vAlign w:val="center"/>
          </w:tcPr>
          <w:p w14:paraId="701BC0C2" w14:textId="548056C2" w:rsidR="00961356" w:rsidRPr="00DC34BB" w:rsidRDefault="00961356" w:rsidP="000E00BF">
            <w:pPr>
              <w:spacing w:after="0"/>
              <w:jc w:val="left"/>
              <w:rPr>
                <w:sz w:val="20"/>
                <w:szCs w:val="20"/>
              </w:rPr>
            </w:pPr>
            <w:r w:rsidRPr="00DC34BB">
              <w:rPr>
                <w:sz w:val="20"/>
                <w:szCs w:val="20"/>
              </w:rPr>
              <w:t>DEFINITION</w:t>
            </w:r>
          </w:p>
        </w:tc>
      </w:tr>
      <w:tr w:rsidR="00280EA4" w:rsidRPr="00DC34BB" w14:paraId="0A23D90E" w14:textId="77777777" w:rsidTr="000E00BF">
        <w:tc>
          <w:tcPr>
            <w:tcW w:w="3505" w:type="dxa"/>
            <w:vAlign w:val="center"/>
          </w:tcPr>
          <w:p w14:paraId="62B77A1F" w14:textId="1A008739" w:rsidR="00280EA4" w:rsidRPr="00DC34BB" w:rsidRDefault="00280EA4" w:rsidP="000E00BF">
            <w:pPr>
              <w:spacing w:after="0"/>
              <w:jc w:val="left"/>
              <w:rPr>
                <w:sz w:val="20"/>
                <w:szCs w:val="20"/>
              </w:rPr>
            </w:pPr>
            <w:r w:rsidRPr="00DC34BB">
              <w:rPr>
                <w:sz w:val="20"/>
                <w:szCs w:val="20"/>
              </w:rPr>
              <w:t>AANDC</w:t>
            </w:r>
          </w:p>
        </w:tc>
        <w:tc>
          <w:tcPr>
            <w:tcW w:w="5940" w:type="dxa"/>
            <w:vAlign w:val="center"/>
          </w:tcPr>
          <w:p w14:paraId="33D4EA0E" w14:textId="48840C29" w:rsidR="00280EA4" w:rsidRPr="00DC34BB" w:rsidRDefault="00280EA4" w:rsidP="000E00BF">
            <w:pPr>
              <w:spacing w:after="0"/>
              <w:jc w:val="left"/>
              <w:rPr>
                <w:sz w:val="20"/>
                <w:szCs w:val="20"/>
              </w:rPr>
            </w:pPr>
            <w:r w:rsidRPr="00DC34BB">
              <w:rPr>
                <w:sz w:val="20"/>
                <w:szCs w:val="20"/>
              </w:rPr>
              <w:t>Aboriginal Affairs and Northern Development Canada (now Crown-Indigenous Relations and Northern Affairs</w:t>
            </w:r>
            <w:r w:rsidR="00E836A7" w:rsidRPr="00DC34BB">
              <w:rPr>
                <w:sz w:val="20"/>
                <w:szCs w:val="20"/>
              </w:rPr>
              <w:t xml:space="preserve"> Canada</w:t>
            </w:r>
            <w:r w:rsidRPr="00DC34BB">
              <w:rPr>
                <w:sz w:val="20"/>
                <w:szCs w:val="20"/>
              </w:rPr>
              <w:t>)</w:t>
            </w:r>
          </w:p>
        </w:tc>
      </w:tr>
      <w:tr w:rsidR="00961356" w:rsidRPr="00DC34BB" w14:paraId="46F700FE" w14:textId="77777777" w:rsidTr="000E00BF">
        <w:tc>
          <w:tcPr>
            <w:tcW w:w="3505" w:type="dxa"/>
            <w:vAlign w:val="center"/>
          </w:tcPr>
          <w:p w14:paraId="79A83A56" w14:textId="571922BE" w:rsidR="00961356" w:rsidRPr="00DC34BB" w:rsidRDefault="00961356" w:rsidP="000E00BF">
            <w:pPr>
              <w:spacing w:after="0"/>
              <w:jc w:val="left"/>
              <w:rPr>
                <w:sz w:val="20"/>
                <w:szCs w:val="20"/>
              </w:rPr>
            </w:pPr>
            <w:r w:rsidRPr="00DC34BB">
              <w:rPr>
                <w:sz w:val="20"/>
                <w:szCs w:val="20"/>
              </w:rPr>
              <w:t>AEMP</w:t>
            </w:r>
          </w:p>
        </w:tc>
        <w:tc>
          <w:tcPr>
            <w:tcW w:w="5940" w:type="dxa"/>
            <w:vAlign w:val="center"/>
          </w:tcPr>
          <w:p w14:paraId="45D2E70F" w14:textId="6B4D9FBE" w:rsidR="00961356" w:rsidRPr="00DC34BB" w:rsidRDefault="00961356" w:rsidP="000E00BF">
            <w:pPr>
              <w:spacing w:after="0"/>
              <w:jc w:val="left"/>
              <w:rPr>
                <w:sz w:val="20"/>
                <w:szCs w:val="20"/>
              </w:rPr>
            </w:pPr>
            <w:r w:rsidRPr="00DC34BB">
              <w:rPr>
                <w:sz w:val="20"/>
                <w:szCs w:val="20"/>
              </w:rPr>
              <w:t>Aquatic Effects Monitoring Program</w:t>
            </w:r>
          </w:p>
        </w:tc>
      </w:tr>
      <w:tr w:rsidR="00347BDF" w:rsidRPr="00DC34BB" w14:paraId="21B78DC9" w14:textId="77777777" w:rsidTr="000E00BF">
        <w:tc>
          <w:tcPr>
            <w:tcW w:w="3505" w:type="dxa"/>
            <w:vAlign w:val="center"/>
          </w:tcPr>
          <w:p w14:paraId="77E8CEE1" w14:textId="67394B85" w:rsidR="00347BDF" w:rsidRPr="00DC34BB" w:rsidRDefault="00347BDF" w:rsidP="000E00BF">
            <w:pPr>
              <w:spacing w:after="0"/>
              <w:jc w:val="left"/>
              <w:rPr>
                <w:sz w:val="20"/>
                <w:szCs w:val="20"/>
              </w:rPr>
            </w:pPr>
            <w:r w:rsidRPr="00DC34BB">
              <w:rPr>
                <w:sz w:val="20"/>
                <w:szCs w:val="20"/>
              </w:rPr>
              <w:t>applicant</w:t>
            </w:r>
          </w:p>
        </w:tc>
        <w:tc>
          <w:tcPr>
            <w:tcW w:w="5940" w:type="dxa"/>
            <w:vAlign w:val="center"/>
          </w:tcPr>
          <w:p w14:paraId="39558AB8" w14:textId="128F21F4" w:rsidR="00347BDF" w:rsidRPr="00DC34BB" w:rsidRDefault="00347BDF" w:rsidP="000E00BF">
            <w:pPr>
              <w:spacing w:after="0"/>
              <w:jc w:val="left"/>
              <w:rPr>
                <w:sz w:val="20"/>
                <w:szCs w:val="20"/>
              </w:rPr>
            </w:pPr>
            <w:r w:rsidRPr="00DC34BB">
              <w:rPr>
                <w:sz w:val="20"/>
                <w:szCs w:val="20"/>
              </w:rPr>
              <w:t>A person who has filed an application with the Board.</w:t>
            </w:r>
          </w:p>
        </w:tc>
      </w:tr>
      <w:tr w:rsidR="00347BDF" w:rsidRPr="00DC34BB" w14:paraId="3920B0E4" w14:textId="77777777" w:rsidTr="000E00BF">
        <w:tc>
          <w:tcPr>
            <w:tcW w:w="3505" w:type="dxa"/>
            <w:vAlign w:val="center"/>
          </w:tcPr>
          <w:p w14:paraId="09C32788" w14:textId="2D4763E2" w:rsidR="00347BDF" w:rsidRPr="00DC34BB" w:rsidRDefault="00347BDF" w:rsidP="000E00BF">
            <w:pPr>
              <w:spacing w:after="0"/>
              <w:jc w:val="left"/>
              <w:rPr>
                <w:sz w:val="20"/>
                <w:szCs w:val="20"/>
              </w:rPr>
            </w:pPr>
            <w:r w:rsidRPr="00DC34BB">
              <w:rPr>
                <w:sz w:val="20"/>
                <w:szCs w:val="20"/>
              </w:rPr>
              <w:t>application</w:t>
            </w:r>
          </w:p>
        </w:tc>
        <w:tc>
          <w:tcPr>
            <w:tcW w:w="5940" w:type="dxa"/>
            <w:vAlign w:val="center"/>
          </w:tcPr>
          <w:p w14:paraId="1ED05384" w14:textId="27978EC2" w:rsidR="00347BDF" w:rsidRPr="00DC34BB" w:rsidRDefault="00347BDF" w:rsidP="000E00BF">
            <w:pPr>
              <w:spacing w:after="0"/>
              <w:jc w:val="left"/>
              <w:rPr>
                <w:sz w:val="20"/>
                <w:szCs w:val="20"/>
              </w:rPr>
            </w:pPr>
            <w:r w:rsidRPr="00DC34BB">
              <w:rPr>
                <w:sz w:val="20"/>
                <w:szCs w:val="20"/>
              </w:rPr>
              <w:t xml:space="preserve">Any application for or in relation to a land use permit or water licence submitted in accordance with the </w:t>
            </w:r>
            <w:r w:rsidRPr="00DC34BB">
              <w:rPr>
                <w:i/>
                <w:iCs/>
                <w:sz w:val="20"/>
                <w:szCs w:val="20"/>
              </w:rPr>
              <w:t xml:space="preserve">Mackenzie Valley Resource Management Act </w:t>
            </w:r>
            <w:r w:rsidRPr="00DC34BB">
              <w:rPr>
                <w:sz w:val="20"/>
                <w:szCs w:val="20"/>
              </w:rPr>
              <w:t xml:space="preserve">(MVRMA), the </w:t>
            </w:r>
            <w:r w:rsidRPr="00DC34BB">
              <w:rPr>
                <w:i/>
                <w:iCs/>
                <w:sz w:val="20"/>
                <w:szCs w:val="20"/>
              </w:rPr>
              <w:t>Waters Act</w:t>
            </w:r>
            <w:r w:rsidRPr="00DC34BB">
              <w:rPr>
                <w:sz w:val="20"/>
                <w:szCs w:val="20"/>
              </w:rPr>
              <w:t>, or their regulations, and includes a request for a Board ruling, a plan approval, or any step required to advance a Board proceeding.</w:t>
            </w:r>
          </w:p>
        </w:tc>
      </w:tr>
      <w:tr w:rsidR="00961356" w:rsidRPr="00DC34BB" w14:paraId="243A5820" w14:textId="77777777" w:rsidTr="000E00BF">
        <w:tc>
          <w:tcPr>
            <w:tcW w:w="3505" w:type="dxa"/>
            <w:vAlign w:val="center"/>
          </w:tcPr>
          <w:p w14:paraId="0CEDE240" w14:textId="7DF244BF" w:rsidR="00961356" w:rsidRPr="00DC34BB" w:rsidRDefault="00961356" w:rsidP="000E00BF">
            <w:pPr>
              <w:spacing w:after="0"/>
              <w:jc w:val="left"/>
              <w:rPr>
                <w:sz w:val="20"/>
                <w:szCs w:val="20"/>
              </w:rPr>
            </w:pPr>
            <w:r w:rsidRPr="00DC34BB">
              <w:rPr>
                <w:sz w:val="20"/>
                <w:szCs w:val="20"/>
              </w:rPr>
              <w:t>Boards</w:t>
            </w:r>
            <w:r w:rsidR="00FD7DBA" w:rsidRPr="00DC34BB">
              <w:rPr>
                <w:sz w:val="20"/>
                <w:szCs w:val="20"/>
              </w:rPr>
              <w:t xml:space="preserve"> (LWBs)</w:t>
            </w:r>
          </w:p>
        </w:tc>
        <w:tc>
          <w:tcPr>
            <w:tcW w:w="5940" w:type="dxa"/>
            <w:vAlign w:val="center"/>
          </w:tcPr>
          <w:p w14:paraId="122DE2B2" w14:textId="77777777" w:rsidR="00702D25" w:rsidRPr="00DC34BB" w:rsidRDefault="00702D25" w:rsidP="00702D25">
            <w:pPr>
              <w:spacing w:after="0"/>
              <w:jc w:val="left"/>
              <w:rPr>
                <w:sz w:val="20"/>
                <w:szCs w:val="20"/>
              </w:rPr>
            </w:pPr>
            <w:r w:rsidRPr="00DC34BB">
              <w:rPr>
                <w:sz w:val="20"/>
                <w:szCs w:val="20"/>
              </w:rPr>
              <w:t>The Land and Water Boards of the Mackenzie Valley, as mandated by the MVRMA.</w:t>
            </w:r>
          </w:p>
          <w:p w14:paraId="055E7FFD" w14:textId="44AC8D1E" w:rsidR="00702D25" w:rsidRPr="00DC34BB" w:rsidRDefault="00702D25" w:rsidP="001838DB">
            <w:pPr>
              <w:pStyle w:val="ListParagraph"/>
              <w:numPr>
                <w:ilvl w:val="0"/>
                <w:numId w:val="28"/>
              </w:numPr>
              <w:spacing w:after="0"/>
              <w:jc w:val="left"/>
              <w:rPr>
                <w:sz w:val="20"/>
                <w:szCs w:val="20"/>
              </w:rPr>
            </w:pPr>
            <w:r w:rsidRPr="00DC34BB">
              <w:rPr>
                <w:sz w:val="20"/>
                <w:szCs w:val="20"/>
              </w:rPr>
              <w:t>Part 3 of the MVRMA establishes regional land and water boards with the power to regulate the use of land and water, and the deposit of waste, including the issuance of land use permits and water licences, so as to provide for the conservation, development, and utilization of land and water resources in a manner that will ensure the optimum benefit to the residents of the management area and of the Mackenzie Valley and to all Canadians.</w:t>
            </w:r>
          </w:p>
          <w:p w14:paraId="1560BEAA" w14:textId="1338F6B9" w:rsidR="00702D25" w:rsidRPr="00DC34BB" w:rsidRDefault="00702D25" w:rsidP="001838DB">
            <w:pPr>
              <w:pStyle w:val="ListParagraph"/>
              <w:numPr>
                <w:ilvl w:val="0"/>
                <w:numId w:val="28"/>
              </w:numPr>
              <w:spacing w:after="0"/>
              <w:jc w:val="left"/>
              <w:rPr>
                <w:sz w:val="20"/>
                <w:szCs w:val="20"/>
              </w:rPr>
            </w:pPr>
            <w:r w:rsidRPr="00DC34BB">
              <w:rPr>
                <w:sz w:val="20"/>
                <w:szCs w:val="20"/>
              </w:rPr>
              <w:t>Part 4 of the MVRMA establishes the Mackenzie Valley Land and Water Board (MVLWB).</w:t>
            </w:r>
          </w:p>
          <w:p w14:paraId="4E092484" w14:textId="48C9B762" w:rsidR="001838DB" w:rsidRPr="00DC34BB" w:rsidRDefault="00702D25" w:rsidP="001838DB">
            <w:pPr>
              <w:pStyle w:val="ListParagraph"/>
              <w:numPr>
                <w:ilvl w:val="0"/>
                <w:numId w:val="28"/>
              </w:numPr>
              <w:spacing w:after="0"/>
              <w:jc w:val="left"/>
              <w:rPr>
                <w:sz w:val="20"/>
                <w:szCs w:val="20"/>
              </w:rPr>
            </w:pPr>
            <w:r w:rsidRPr="00DC34BB">
              <w:rPr>
                <w:sz w:val="20"/>
                <w:szCs w:val="20"/>
              </w:rPr>
              <w:t>Regional Land and Water Boards have been established in the Gwich’in, Sahtu, and Wek’èezhìi management areas and now form Regional Panels of the MVLWB.</w:t>
            </w:r>
          </w:p>
          <w:p w14:paraId="1D0D59CA" w14:textId="14EA29CA" w:rsidR="00961356" w:rsidRPr="00DC34BB" w:rsidRDefault="00961356" w:rsidP="00702D25">
            <w:pPr>
              <w:spacing w:after="0"/>
              <w:jc w:val="left"/>
              <w:rPr>
                <w:sz w:val="20"/>
                <w:szCs w:val="20"/>
              </w:rPr>
            </w:pPr>
          </w:p>
        </w:tc>
      </w:tr>
      <w:tr w:rsidR="00961356" w:rsidRPr="00DC34BB" w14:paraId="584F8CD3" w14:textId="77777777" w:rsidTr="000E00BF">
        <w:tc>
          <w:tcPr>
            <w:tcW w:w="3505" w:type="dxa"/>
            <w:vAlign w:val="center"/>
          </w:tcPr>
          <w:p w14:paraId="6D5390E0" w14:textId="1D304AFB" w:rsidR="00961356" w:rsidRPr="00DC34BB" w:rsidRDefault="00961356" w:rsidP="000E00BF">
            <w:pPr>
              <w:spacing w:after="0"/>
              <w:jc w:val="left"/>
              <w:rPr>
                <w:sz w:val="20"/>
                <w:szCs w:val="20"/>
              </w:rPr>
            </w:pPr>
            <w:r w:rsidRPr="00DC34BB">
              <w:rPr>
                <w:sz w:val="20"/>
                <w:szCs w:val="20"/>
              </w:rPr>
              <w:t xml:space="preserve">CCME </w:t>
            </w:r>
          </w:p>
        </w:tc>
        <w:tc>
          <w:tcPr>
            <w:tcW w:w="5940" w:type="dxa"/>
            <w:vAlign w:val="center"/>
          </w:tcPr>
          <w:p w14:paraId="39E9C5A1" w14:textId="4CFE913E" w:rsidR="00961356" w:rsidRPr="00DC34BB" w:rsidRDefault="00961356" w:rsidP="000E00BF">
            <w:pPr>
              <w:spacing w:after="0"/>
              <w:jc w:val="left"/>
              <w:rPr>
                <w:sz w:val="20"/>
                <w:szCs w:val="20"/>
              </w:rPr>
            </w:pPr>
            <w:r w:rsidRPr="00DC34BB">
              <w:rPr>
                <w:sz w:val="20"/>
                <w:szCs w:val="20"/>
              </w:rPr>
              <w:t>Canadian Council of Ministers of the Environment</w:t>
            </w:r>
          </w:p>
        </w:tc>
      </w:tr>
      <w:tr w:rsidR="00D054B9" w:rsidRPr="00DC34BB" w14:paraId="41832767" w14:textId="77777777" w:rsidTr="000E00BF">
        <w:tc>
          <w:tcPr>
            <w:tcW w:w="3505" w:type="dxa"/>
            <w:vAlign w:val="center"/>
          </w:tcPr>
          <w:p w14:paraId="74EBFAD8" w14:textId="084936C8" w:rsidR="00D054B9" w:rsidRPr="00DC34BB" w:rsidRDefault="00D054B9" w:rsidP="000E00BF">
            <w:pPr>
              <w:spacing w:after="0"/>
              <w:jc w:val="left"/>
              <w:rPr>
                <w:sz w:val="20"/>
                <w:szCs w:val="20"/>
              </w:rPr>
            </w:pPr>
            <w:r w:rsidRPr="00DC34BB">
              <w:rPr>
                <w:sz w:val="20"/>
                <w:szCs w:val="20"/>
              </w:rPr>
              <w:t>discharge</w:t>
            </w:r>
          </w:p>
        </w:tc>
        <w:tc>
          <w:tcPr>
            <w:tcW w:w="5940" w:type="dxa"/>
            <w:vAlign w:val="center"/>
          </w:tcPr>
          <w:p w14:paraId="1C033133" w14:textId="37B8C529" w:rsidR="00D054B9" w:rsidRPr="00DC34BB" w:rsidRDefault="00D054B9" w:rsidP="000E00BF">
            <w:pPr>
              <w:spacing w:after="0"/>
              <w:jc w:val="left"/>
              <w:rPr>
                <w:sz w:val="20"/>
                <w:szCs w:val="20"/>
              </w:rPr>
            </w:pPr>
            <w:bookmarkStart w:id="4" w:name="_Hlk85208850"/>
            <w:r w:rsidRPr="00DC34BB">
              <w:rPr>
                <w:sz w:val="20"/>
                <w:szCs w:val="20"/>
              </w:rPr>
              <w:t>A direct or indirect deposit or release of any water or waste to the receiving environment.</w:t>
            </w:r>
            <w:bookmarkEnd w:id="4"/>
            <w:commentRangeStart w:id="5"/>
            <w:r w:rsidR="00466929" w:rsidRPr="00DC34BB">
              <w:rPr>
                <w:rStyle w:val="FootnoteReference"/>
                <w:sz w:val="20"/>
                <w:szCs w:val="20"/>
              </w:rPr>
              <w:footnoteReference w:id="2"/>
            </w:r>
            <w:commentRangeEnd w:id="5"/>
            <w:r w:rsidR="00412EE7" w:rsidRPr="00DC34BB">
              <w:rPr>
                <w:rStyle w:val="CommentReference"/>
              </w:rPr>
              <w:commentReference w:id="5"/>
            </w:r>
          </w:p>
        </w:tc>
      </w:tr>
      <w:tr w:rsidR="000A5DF4" w:rsidRPr="00DC34BB" w14:paraId="53D98BB8" w14:textId="77777777" w:rsidTr="000E00BF">
        <w:tc>
          <w:tcPr>
            <w:tcW w:w="3505" w:type="dxa"/>
            <w:vAlign w:val="center"/>
          </w:tcPr>
          <w:p w14:paraId="5365386F" w14:textId="54253512" w:rsidR="000A5DF4" w:rsidRPr="00DC34BB" w:rsidRDefault="000A5DF4" w:rsidP="000E00BF">
            <w:pPr>
              <w:spacing w:after="0"/>
              <w:jc w:val="left"/>
              <w:rPr>
                <w:sz w:val="20"/>
                <w:szCs w:val="20"/>
              </w:rPr>
            </w:pPr>
            <w:r w:rsidRPr="00DC34BB">
              <w:rPr>
                <w:sz w:val="20"/>
                <w:szCs w:val="20"/>
              </w:rPr>
              <w:t>effluent</w:t>
            </w:r>
          </w:p>
        </w:tc>
        <w:tc>
          <w:tcPr>
            <w:tcW w:w="5940" w:type="dxa"/>
            <w:vAlign w:val="center"/>
          </w:tcPr>
          <w:p w14:paraId="6D32E073" w14:textId="57252311" w:rsidR="000A5DF4" w:rsidRPr="00DC34BB" w:rsidRDefault="0080360E" w:rsidP="000E00BF">
            <w:pPr>
              <w:spacing w:after="0"/>
              <w:jc w:val="left"/>
              <w:rPr>
                <w:sz w:val="20"/>
                <w:szCs w:val="20"/>
              </w:rPr>
            </w:pPr>
            <w:r w:rsidRPr="00DC34BB">
              <w:rPr>
                <w:sz w:val="20"/>
                <w:szCs w:val="20"/>
              </w:rPr>
              <w:t>A wastewater discharge.</w:t>
            </w:r>
          </w:p>
        </w:tc>
      </w:tr>
      <w:tr w:rsidR="00961356" w:rsidRPr="00DC34BB" w14:paraId="3CC6D85F" w14:textId="77777777" w:rsidTr="000E00BF">
        <w:tc>
          <w:tcPr>
            <w:tcW w:w="3505" w:type="dxa"/>
            <w:vAlign w:val="center"/>
          </w:tcPr>
          <w:p w14:paraId="7EDA6499" w14:textId="3D1C94D2" w:rsidR="00961356" w:rsidRPr="00DC34BB" w:rsidRDefault="00961356" w:rsidP="000E00BF">
            <w:pPr>
              <w:spacing w:after="0"/>
              <w:jc w:val="left"/>
              <w:rPr>
                <w:sz w:val="20"/>
                <w:szCs w:val="20"/>
              </w:rPr>
            </w:pPr>
            <w:r w:rsidRPr="00DC34BB">
              <w:rPr>
                <w:sz w:val="20"/>
                <w:szCs w:val="20"/>
              </w:rPr>
              <w:t>Effluent Quality Criteria (EQC)</w:t>
            </w:r>
          </w:p>
        </w:tc>
        <w:tc>
          <w:tcPr>
            <w:tcW w:w="5940" w:type="dxa"/>
            <w:vAlign w:val="center"/>
          </w:tcPr>
          <w:p w14:paraId="1B523BA5" w14:textId="5C56B370" w:rsidR="00961356" w:rsidRPr="00DC34BB" w:rsidRDefault="00961356" w:rsidP="000E00BF">
            <w:pPr>
              <w:spacing w:after="0"/>
              <w:jc w:val="left"/>
              <w:rPr>
                <w:sz w:val="20"/>
                <w:szCs w:val="20"/>
              </w:rPr>
            </w:pPr>
            <w:r w:rsidRPr="00DC34BB">
              <w:rPr>
                <w:sz w:val="20"/>
                <w:szCs w:val="20"/>
              </w:rPr>
              <w:t xml:space="preserve">Numerical or narrative limits on the quality or quantity of the waste </w:t>
            </w:r>
            <w:r w:rsidR="001838DB" w:rsidRPr="00DC34BB">
              <w:rPr>
                <w:sz w:val="20"/>
                <w:szCs w:val="20"/>
              </w:rPr>
              <w:t xml:space="preserve">authorized for </w:t>
            </w:r>
            <w:r w:rsidRPr="00DC34BB">
              <w:rPr>
                <w:sz w:val="20"/>
                <w:szCs w:val="20"/>
              </w:rPr>
              <w:t>deposit to the receiving environment</w:t>
            </w:r>
            <w:r w:rsidR="000E00BF" w:rsidRPr="00DC34BB">
              <w:rPr>
                <w:sz w:val="20"/>
                <w:szCs w:val="20"/>
              </w:rPr>
              <w:t>.</w:t>
            </w:r>
          </w:p>
        </w:tc>
      </w:tr>
      <w:tr w:rsidR="00961356" w:rsidRPr="00DC34BB" w14:paraId="605B36BD" w14:textId="77777777" w:rsidTr="000E00BF">
        <w:tc>
          <w:tcPr>
            <w:tcW w:w="3505" w:type="dxa"/>
            <w:vAlign w:val="center"/>
          </w:tcPr>
          <w:p w14:paraId="33678D87" w14:textId="7C19C153" w:rsidR="00961356" w:rsidRPr="00DC34BB" w:rsidRDefault="00961356" w:rsidP="000E00BF">
            <w:pPr>
              <w:spacing w:after="0"/>
              <w:jc w:val="left"/>
              <w:rPr>
                <w:sz w:val="20"/>
                <w:szCs w:val="20"/>
              </w:rPr>
            </w:pPr>
            <w:r w:rsidRPr="00DC34BB">
              <w:rPr>
                <w:sz w:val="20"/>
                <w:szCs w:val="20"/>
              </w:rPr>
              <w:t>GLWB</w:t>
            </w:r>
          </w:p>
        </w:tc>
        <w:tc>
          <w:tcPr>
            <w:tcW w:w="5940" w:type="dxa"/>
            <w:vAlign w:val="center"/>
          </w:tcPr>
          <w:p w14:paraId="26AD45CB" w14:textId="46A6DE1E" w:rsidR="00961356" w:rsidRPr="00DC34BB" w:rsidRDefault="00961356" w:rsidP="000E00BF">
            <w:pPr>
              <w:spacing w:after="0"/>
              <w:jc w:val="left"/>
              <w:rPr>
                <w:sz w:val="20"/>
                <w:szCs w:val="20"/>
              </w:rPr>
            </w:pPr>
            <w:r w:rsidRPr="00DC34BB">
              <w:rPr>
                <w:sz w:val="20"/>
                <w:szCs w:val="20"/>
              </w:rPr>
              <w:t>Gwich’in Land and Water Board</w:t>
            </w:r>
          </w:p>
        </w:tc>
      </w:tr>
      <w:tr w:rsidR="00243588" w:rsidRPr="00DC34BB" w14:paraId="461EA32D" w14:textId="77777777" w:rsidTr="000E00BF">
        <w:tc>
          <w:tcPr>
            <w:tcW w:w="3505" w:type="dxa"/>
            <w:vAlign w:val="center"/>
          </w:tcPr>
          <w:p w14:paraId="0C2C0AC5" w14:textId="5408F082" w:rsidR="00243588" w:rsidRPr="00DC34BB" w:rsidDel="002118C3" w:rsidRDefault="00243588" w:rsidP="000E00BF">
            <w:pPr>
              <w:spacing w:after="0"/>
              <w:jc w:val="left"/>
              <w:rPr>
                <w:sz w:val="20"/>
                <w:szCs w:val="20"/>
              </w:rPr>
            </w:pPr>
            <w:r w:rsidRPr="00DC34BB">
              <w:rPr>
                <w:sz w:val="20"/>
                <w:szCs w:val="20"/>
              </w:rPr>
              <w:t>GNWT</w:t>
            </w:r>
          </w:p>
        </w:tc>
        <w:tc>
          <w:tcPr>
            <w:tcW w:w="5940" w:type="dxa"/>
            <w:vAlign w:val="center"/>
          </w:tcPr>
          <w:p w14:paraId="10A5DD12" w14:textId="6572E9BB" w:rsidR="00243588" w:rsidRPr="00DC34BB" w:rsidDel="002118C3" w:rsidRDefault="00243588" w:rsidP="000E00BF">
            <w:pPr>
              <w:spacing w:after="0"/>
              <w:jc w:val="left"/>
              <w:rPr>
                <w:sz w:val="20"/>
                <w:szCs w:val="20"/>
              </w:rPr>
            </w:pPr>
            <w:r w:rsidRPr="00DC34BB">
              <w:rPr>
                <w:sz w:val="20"/>
                <w:szCs w:val="20"/>
              </w:rPr>
              <w:t>Government of the Northwest Territories</w:t>
            </w:r>
          </w:p>
        </w:tc>
      </w:tr>
      <w:tr w:rsidR="00280EA4" w:rsidRPr="00DC34BB" w14:paraId="3D3E5B56" w14:textId="77777777" w:rsidTr="000E00BF">
        <w:tc>
          <w:tcPr>
            <w:tcW w:w="3505" w:type="dxa"/>
            <w:vAlign w:val="center"/>
          </w:tcPr>
          <w:p w14:paraId="199996DF" w14:textId="1F27BD36" w:rsidR="00280EA4" w:rsidRPr="00DC34BB" w:rsidRDefault="00280EA4" w:rsidP="000E00BF">
            <w:pPr>
              <w:spacing w:after="0"/>
              <w:jc w:val="left"/>
              <w:rPr>
                <w:sz w:val="20"/>
                <w:szCs w:val="20"/>
              </w:rPr>
            </w:pPr>
            <w:r w:rsidRPr="00DC34BB">
              <w:rPr>
                <w:sz w:val="20"/>
                <w:szCs w:val="20"/>
              </w:rPr>
              <w:t>INAC</w:t>
            </w:r>
          </w:p>
        </w:tc>
        <w:tc>
          <w:tcPr>
            <w:tcW w:w="5940" w:type="dxa"/>
            <w:vAlign w:val="center"/>
          </w:tcPr>
          <w:p w14:paraId="343DADB9" w14:textId="1FB8F643" w:rsidR="00280EA4" w:rsidRPr="00DC34BB" w:rsidRDefault="00280EA4" w:rsidP="000E00BF">
            <w:pPr>
              <w:spacing w:after="0"/>
              <w:jc w:val="left"/>
              <w:rPr>
                <w:sz w:val="20"/>
                <w:szCs w:val="20"/>
              </w:rPr>
            </w:pPr>
            <w:r w:rsidRPr="00DC34BB">
              <w:rPr>
                <w:sz w:val="20"/>
                <w:szCs w:val="20"/>
              </w:rPr>
              <w:t>Indian and Northern Affairs Canada (now Crown-Indigenous Relations and Northern Affairs</w:t>
            </w:r>
            <w:r w:rsidR="00657BC4" w:rsidRPr="00DC34BB">
              <w:rPr>
                <w:sz w:val="20"/>
                <w:szCs w:val="20"/>
              </w:rPr>
              <w:t xml:space="preserve"> Canada</w:t>
            </w:r>
            <w:r w:rsidRPr="00DC34BB">
              <w:rPr>
                <w:sz w:val="20"/>
                <w:szCs w:val="20"/>
              </w:rPr>
              <w:t>)</w:t>
            </w:r>
          </w:p>
        </w:tc>
      </w:tr>
      <w:tr w:rsidR="00243588" w:rsidRPr="00DC34BB" w14:paraId="41E86B0E" w14:textId="77777777" w:rsidTr="000E00BF">
        <w:tc>
          <w:tcPr>
            <w:tcW w:w="3505" w:type="dxa"/>
            <w:vAlign w:val="center"/>
          </w:tcPr>
          <w:p w14:paraId="517093E7" w14:textId="176CE9BC" w:rsidR="00243588" w:rsidRPr="00DC34BB" w:rsidDel="002118C3" w:rsidRDefault="00243588" w:rsidP="000E00BF">
            <w:pPr>
              <w:spacing w:after="0"/>
              <w:jc w:val="left"/>
              <w:rPr>
                <w:sz w:val="20"/>
                <w:szCs w:val="20"/>
              </w:rPr>
            </w:pPr>
            <w:r w:rsidRPr="00DC34BB">
              <w:rPr>
                <w:sz w:val="20"/>
                <w:szCs w:val="20"/>
              </w:rPr>
              <w:t xml:space="preserve">licensee </w:t>
            </w:r>
          </w:p>
        </w:tc>
        <w:tc>
          <w:tcPr>
            <w:tcW w:w="5940" w:type="dxa"/>
            <w:vAlign w:val="center"/>
          </w:tcPr>
          <w:p w14:paraId="66E6DE3B" w14:textId="1B303C08" w:rsidR="00243588" w:rsidRPr="00DC34BB" w:rsidDel="002118C3" w:rsidRDefault="00243588" w:rsidP="000E00BF">
            <w:pPr>
              <w:spacing w:after="0"/>
              <w:jc w:val="left"/>
              <w:rPr>
                <w:sz w:val="20"/>
                <w:szCs w:val="20"/>
              </w:rPr>
            </w:pPr>
            <w:r w:rsidRPr="00DC34BB">
              <w:rPr>
                <w:sz w:val="20"/>
                <w:szCs w:val="20"/>
              </w:rPr>
              <w:t xml:space="preserve">A person who holds a water licence issued by a </w:t>
            </w:r>
            <w:r w:rsidR="00FD7DBA" w:rsidRPr="00DC34BB">
              <w:rPr>
                <w:sz w:val="20"/>
                <w:szCs w:val="20"/>
              </w:rPr>
              <w:t>LWB</w:t>
            </w:r>
            <w:r w:rsidRPr="00DC34BB">
              <w:rPr>
                <w:sz w:val="20"/>
                <w:szCs w:val="20"/>
              </w:rPr>
              <w:t>.</w:t>
            </w:r>
          </w:p>
        </w:tc>
      </w:tr>
      <w:tr w:rsidR="00961356" w:rsidRPr="00DC34BB" w14:paraId="79991AFD" w14:textId="77777777" w:rsidTr="000E00BF">
        <w:tc>
          <w:tcPr>
            <w:tcW w:w="3505" w:type="dxa"/>
            <w:vAlign w:val="center"/>
          </w:tcPr>
          <w:p w14:paraId="3776CD56" w14:textId="7B4AA945" w:rsidR="00961356" w:rsidRPr="00DC34BB" w:rsidRDefault="00961356" w:rsidP="000E00BF">
            <w:pPr>
              <w:spacing w:after="0"/>
              <w:jc w:val="left"/>
              <w:rPr>
                <w:sz w:val="20"/>
                <w:szCs w:val="20"/>
              </w:rPr>
            </w:pPr>
            <w:r w:rsidRPr="00DC34BB">
              <w:rPr>
                <w:sz w:val="20"/>
                <w:szCs w:val="20"/>
              </w:rPr>
              <w:t>Mackenzie Valley</w:t>
            </w:r>
          </w:p>
        </w:tc>
        <w:tc>
          <w:tcPr>
            <w:tcW w:w="5940" w:type="dxa"/>
            <w:vAlign w:val="center"/>
          </w:tcPr>
          <w:p w14:paraId="63B032C8" w14:textId="287A8760" w:rsidR="00961356" w:rsidRPr="00DC34BB" w:rsidRDefault="00323CF7" w:rsidP="000E00BF">
            <w:pPr>
              <w:spacing w:after="0"/>
              <w:jc w:val="left"/>
              <w:rPr>
                <w:sz w:val="20"/>
                <w:szCs w:val="20"/>
              </w:rPr>
            </w:pPr>
            <w:r w:rsidRPr="00DC34BB">
              <w:rPr>
                <w:sz w:val="20"/>
                <w:szCs w:val="20"/>
              </w:rPr>
              <w:t>That part of the Northwest Territories bounded on the south by the 60</w:t>
            </w:r>
            <w:r w:rsidRPr="00DC34BB">
              <w:rPr>
                <w:sz w:val="20"/>
                <w:szCs w:val="20"/>
                <w:vertAlign w:val="superscript"/>
              </w:rPr>
              <w:t>th</w:t>
            </w:r>
            <w:r w:rsidRPr="00DC34BB">
              <w:rPr>
                <w:sz w:val="20"/>
                <w:szCs w:val="20"/>
              </w:rPr>
              <w:t xml:space="preserve"> parallel of latitude, on the west by the Yukon Territory, on the north by the Inuvialuit Settlement Region as defined in the Agreement </w:t>
            </w:r>
            <w:r w:rsidRPr="00DC34BB">
              <w:rPr>
                <w:sz w:val="20"/>
                <w:szCs w:val="20"/>
              </w:rPr>
              <w:lastRenderedPageBreak/>
              <w:t xml:space="preserve">given effect by the </w:t>
            </w:r>
            <w:r w:rsidRPr="00DC34BB">
              <w:rPr>
                <w:i/>
                <w:iCs/>
                <w:sz w:val="20"/>
                <w:szCs w:val="20"/>
              </w:rPr>
              <w:t>Western Arctic (Inuvialuit) Claims Settlement Act</w:t>
            </w:r>
            <w:r w:rsidRPr="00DC34BB">
              <w:rPr>
                <w:sz w:val="20"/>
                <w:szCs w:val="20"/>
              </w:rPr>
              <w:t xml:space="preserve">, and on the east by the Nunavut Settlement Area as defined in the </w:t>
            </w:r>
            <w:r w:rsidRPr="00DC34BB">
              <w:rPr>
                <w:i/>
                <w:iCs/>
                <w:sz w:val="20"/>
                <w:szCs w:val="20"/>
              </w:rPr>
              <w:t>Nunavut Land Claims Agreement Act</w:t>
            </w:r>
            <w:r w:rsidRPr="00DC34BB">
              <w:rPr>
                <w:sz w:val="20"/>
                <w:szCs w:val="20"/>
              </w:rPr>
              <w:t>, but does not include Wood Buffalo National Park.</w:t>
            </w:r>
          </w:p>
        </w:tc>
      </w:tr>
      <w:tr w:rsidR="00961356" w:rsidRPr="00DC34BB" w14:paraId="0A70C47C" w14:textId="77777777" w:rsidTr="000E00BF">
        <w:tc>
          <w:tcPr>
            <w:tcW w:w="3505" w:type="dxa"/>
            <w:vAlign w:val="center"/>
          </w:tcPr>
          <w:p w14:paraId="01AD512D" w14:textId="08BF4483" w:rsidR="00961356" w:rsidRPr="00DC34BB" w:rsidRDefault="00323CF7" w:rsidP="000E00BF">
            <w:pPr>
              <w:spacing w:after="0"/>
              <w:jc w:val="left"/>
              <w:rPr>
                <w:sz w:val="20"/>
                <w:szCs w:val="20"/>
              </w:rPr>
            </w:pPr>
            <w:r w:rsidRPr="00DC34BB">
              <w:rPr>
                <w:sz w:val="20"/>
                <w:szCs w:val="20"/>
              </w:rPr>
              <w:lastRenderedPageBreak/>
              <w:t>MVLWB</w:t>
            </w:r>
          </w:p>
        </w:tc>
        <w:tc>
          <w:tcPr>
            <w:tcW w:w="5940" w:type="dxa"/>
            <w:vAlign w:val="center"/>
          </w:tcPr>
          <w:p w14:paraId="710FE929" w14:textId="45C9D020" w:rsidR="00961356" w:rsidRPr="00DC34BB" w:rsidRDefault="00323CF7" w:rsidP="000E00BF">
            <w:pPr>
              <w:spacing w:after="0"/>
              <w:jc w:val="left"/>
              <w:rPr>
                <w:sz w:val="20"/>
                <w:szCs w:val="20"/>
              </w:rPr>
            </w:pPr>
            <w:r w:rsidRPr="00DC34BB">
              <w:rPr>
                <w:sz w:val="20"/>
                <w:szCs w:val="20"/>
              </w:rPr>
              <w:t>Mackenzie Valley Land and Water Board</w:t>
            </w:r>
          </w:p>
        </w:tc>
      </w:tr>
      <w:tr w:rsidR="00180449" w:rsidRPr="00DC34BB" w14:paraId="09CC254D" w14:textId="77777777" w:rsidTr="000E00BF">
        <w:tc>
          <w:tcPr>
            <w:tcW w:w="3505" w:type="dxa"/>
            <w:vAlign w:val="center"/>
          </w:tcPr>
          <w:p w14:paraId="4E1E24EA" w14:textId="686E676A" w:rsidR="00180449" w:rsidRPr="00DC34BB" w:rsidRDefault="001C3570" w:rsidP="000E00BF">
            <w:pPr>
              <w:spacing w:after="0"/>
              <w:jc w:val="left"/>
              <w:rPr>
                <w:sz w:val="20"/>
                <w:szCs w:val="20"/>
              </w:rPr>
            </w:pPr>
            <w:r w:rsidRPr="00DC34BB">
              <w:rPr>
                <w:sz w:val="20"/>
                <w:szCs w:val="20"/>
              </w:rPr>
              <w:t>MVLUR</w:t>
            </w:r>
          </w:p>
        </w:tc>
        <w:tc>
          <w:tcPr>
            <w:tcW w:w="5940" w:type="dxa"/>
            <w:vAlign w:val="center"/>
          </w:tcPr>
          <w:p w14:paraId="757AF9C0" w14:textId="09C95ED9" w:rsidR="00180449" w:rsidRPr="00DC34BB" w:rsidRDefault="001C3570" w:rsidP="000E00BF">
            <w:pPr>
              <w:spacing w:after="0"/>
              <w:jc w:val="left"/>
              <w:rPr>
                <w:sz w:val="20"/>
                <w:szCs w:val="20"/>
              </w:rPr>
            </w:pPr>
            <w:r w:rsidRPr="00DC34BB">
              <w:rPr>
                <w:sz w:val="20"/>
                <w:szCs w:val="20"/>
              </w:rPr>
              <w:t>Mackenzie Valley Land Use Regulations</w:t>
            </w:r>
          </w:p>
        </w:tc>
      </w:tr>
      <w:tr w:rsidR="00961356" w:rsidRPr="00DC34BB" w14:paraId="1C3B9D35" w14:textId="77777777" w:rsidTr="000E00BF">
        <w:tc>
          <w:tcPr>
            <w:tcW w:w="3505" w:type="dxa"/>
            <w:vAlign w:val="center"/>
          </w:tcPr>
          <w:p w14:paraId="232E7389" w14:textId="78061E53" w:rsidR="00961356" w:rsidRPr="00DC34BB" w:rsidRDefault="00323CF7" w:rsidP="000E00BF">
            <w:pPr>
              <w:spacing w:after="0"/>
              <w:jc w:val="left"/>
              <w:rPr>
                <w:sz w:val="20"/>
                <w:szCs w:val="20"/>
              </w:rPr>
            </w:pPr>
            <w:r w:rsidRPr="00DC34BB">
              <w:rPr>
                <w:sz w:val="20"/>
                <w:szCs w:val="20"/>
              </w:rPr>
              <w:t>MVRMA</w:t>
            </w:r>
          </w:p>
        </w:tc>
        <w:tc>
          <w:tcPr>
            <w:tcW w:w="5940" w:type="dxa"/>
            <w:vAlign w:val="center"/>
          </w:tcPr>
          <w:p w14:paraId="481301DF" w14:textId="7EF65BB8" w:rsidR="00961356" w:rsidRPr="00DC34BB" w:rsidRDefault="00323CF7" w:rsidP="000E00BF">
            <w:pPr>
              <w:spacing w:after="0"/>
              <w:jc w:val="left"/>
              <w:rPr>
                <w:i/>
                <w:iCs/>
                <w:sz w:val="20"/>
                <w:szCs w:val="20"/>
              </w:rPr>
            </w:pPr>
            <w:r w:rsidRPr="00DC34BB">
              <w:rPr>
                <w:i/>
                <w:iCs/>
                <w:sz w:val="20"/>
                <w:szCs w:val="20"/>
              </w:rPr>
              <w:t>Mackenzie Valley Resource Management Act</w:t>
            </w:r>
          </w:p>
        </w:tc>
      </w:tr>
      <w:tr w:rsidR="00961356" w:rsidRPr="00DC34BB" w14:paraId="4BFC4849" w14:textId="77777777" w:rsidTr="000E00BF">
        <w:tc>
          <w:tcPr>
            <w:tcW w:w="3505" w:type="dxa"/>
            <w:vAlign w:val="center"/>
          </w:tcPr>
          <w:p w14:paraId="360AC1E3" w14:textId="154DEF1A" w:rsidR="00961356" w:rsidRPr="00DC34BB" w:rsidRDefault="00323CF7" w:rsidP="000E00BF">
            <w:pPr>
              <w:spacing w:after="0"/>
              <w:jc w:val="left"/>
              <w:rPr>
                <w:sz w:val="20"/>
                <w:szCs w:val="20"/>
              </w:rPr>
            </w:pPr>
            <w:r w:rsidRPr="00DC34BB">
              <w:rPr>
                <w:sz w:val="20"/>
                <w:szCs w:val="20"/>
              </w:rPr>
              <w:t xml:space="preserve">NWT </w:t>
            </w:r>
          </w:p>
        </w:tc>
        <w:tc>
          <w:tcPr>
            <w:tcW w:w="5940" w:type="dxa"/>
            <w:vAlign w:val="center"/>
          </w:tcPr>
          <w:p w14:paraId="55BCEDD1" w14:textId="3471BB18" w:rsidR="00961356" w:rsidRPr="00DC34BB" w:rsidRDefault="00323CF7" w:rsidP="000E00BF">
            <w:pPr>
              <w:spacing w:after="0"/>
              <w:jc w:val="left"/>
              <w:rPr>
                <w:sz w:val="20"/>
                <w:szCs w:val="20"/>
              </w:rPr>
            </w:pPr>
            <w:r w:rsidRPr="00DC34BB">
              <w:rPr>
                <w:sz w:val="20"/>
                <w:szCs w:val="20"/>
              </w:rPr>
              <w:t>Northwest Territories</w:t>
            </w:r>
          </w:p>
        </w:tc>
      </w:tr>
      <w:tr w:rsidR="001C3570" w:rsidRPr="00DC34BB" w14:paraId="4F07ACD3" w14:textId="77777777" w:rsidTr="000E00BF">
        <w:tc>
          <w:tcPr>
            <w:tcW w:w="3505" w:type="dxa"/>
            <w:vAlign w:val="center"/>
          </w:tcPr>
          <w:p w14:paraId="6DCBD81B" w14:textId="6E1D113A" w:rsidR="001C3570" w:rsidRPr="00DC34BB" w:rsidRDefault="001C3570" w:rsidP="000E00BF">
            <w:pPr>
              <w:spacing w:after="0"/>
              <w:jc w:val="left"/>
              <w:rPr>
                <w:sz w:val="20"/>
                <w:szCs w:val="20"/>
              </w:rPr>
            </w:pPr>
            <w:r w:rsidRPr="00DC34BB">
              <w:rPr>
                <w:sz w:val="20"/>
                <w:szCs w:val="20"/>
              </w:rPr>
              <w:t>permittee</w:t>
            </w:r>
          </w:p>
        </w:tc>
        <w:tc>
          <w:tcPr>
            <w:tcW w:w="5940" w:type="dxa"/>
            <w:vAlign w:val="center"/>
          </w:tcPr>
          <w:p w14:paraId="402E65E4" w14:textId="09E7BFD7" w:rsidR="001C3570" w:rsidRPr="00DC34BB" w:rsidRDefault="00817638" w:rsidP="000E00BF">
            <w:pPr>
              <w:spacing w:after="0"/>
              <w:jc w:val="left"/>
              <w:rPr>
                <w:sz w:val="20"/>
                <w:szCs w:val="20"/>
              </w:rPr>
            </w:pPr>
            <w:r w:rsidRPr="00DC34BB">
              <w:rPr>
                <w:sz w:val="20"/>
                <w:szCs w:val="20"/>
              </w:rPr>
              <w:t>A person who hold</w:t>
            </w:r>
            <w:r w:rsidR="00FD7DBA" w:rsidRPr="00DC34BB">
              <w:rPr>
                <w:sz w:val="20"/>
                <w:szCs w:val="20"/>
              </w:rPr>
              <w:t>s</w:t>
            </w:r>
            <w:r w:rsidRPr="00DC34BB">
              <w:rPr>
                <w:sz w:val="20"/>
                <w:szCs w:val="20"/>
              </w:rPr>
              <w:t xml:space="preserve"> a land use permit issued by a </w:t>
            </w:r>
            <w:r w:rsidR="00FD7DBA" w:rsidRPr="00DC34BB">
              <w:rPr>
                <w:sz w:val="20"/>
                <w:szCs w:val="20"/>
              </w:rPr>
              <w:t>LWB</w:t>
            </w:r>
            <w:r w:rsidRPr="00DC34BB">
              <w:rPr>
                <w:sz w:val="20"/>
                <w:szCs w:val="20"/>
              </w:rPr>
              <w:t>.</w:t>
            </w:r>
          </w:p>
        </w:tc>
      </w:tr>
      <w:tr w:rsidR="00961356" w:rsidRPr="00DC34BB" w14:paraId="60626CF5" w14:textId="77777777" w:rsidTr="000E00BF">
        <w:tc>
          <w:tcPr>
            <w:tcW w:w="3505" w:type="dxa"/>
            <w:vAlign w:val="center"/>
          </w:tcPr>
          <w:p w14:paraId="286DFECC" w14:textId="5633BDC0" w:rsidR="00961356" w:rsidRPr="00DC34BB" w:rsidRDefault="00323CF7" w:rsidP="000E00BF">
            <w:pPr>
              <w:spacing w:after="0"/>
              <w:jc w:val="left"/>
              <w:rPr>
                <w:sz w:val="20"/>
                <w:szCs w:val="20"/>
              </w:rPr>
            </w:pPr>
            <w:r w:rsidRPr="00DC34BB">
              <w:rPr>
                <w:sz w:val="20"/>
                <w:szCs w:val="20"/>
              </w:rPr>
              <w:t>project</w:t>
            </w:r>
          </w:p>
        </w:tc>
        <w:tc>
          <w:tcPr>
            <w:tcW w:w="5940" w:type="dxa"/>
            <w:vAlign w:val="center"/>
          </w:tcPr>
          <w:p w14:paraId="1ED4AFA1" w14:textId="1880C69C" w:rsidR="00961356" w:rsidRPr="00DC34BB" w:rsidRDefault="00323CF7" w:rsidP="000E00BF">
            <w:pPr>
              <w:spacing w:after="0"/>
              <w:jc w:val="left"/>
              <w:rPr>
                <w:sz w:val="20"/>
                <w:szCs w:val="20"/>
              </w:rPr>
            </w:pPr>
            <w:r w:rsidRPr="00DC34BB">
              <w:rPr>
                <w:sz w:val="20"/>
                <w:szCs w:val="20"/>
              </w:rPr>
              <w:t xml:space="preserve">Any </w:t>
            </w:r>
            <w:r w:rsidR="00347BDF" w:rsidRPr="00DC34BB">
              <w:rPr>
                <w:sz w:val="20"/>
                <w:szCs w:val="20"/>
              </w:rPr>
              <w:t>undertaking</w:t>
            </w:r>
            <w:r w:rsidR="001838DB" w:rsidRPr="00DC34BB">
              <w:rPr>
                <w:rStyle w:val="FootnoteReference"/>
                <w:sz w:val="20"/>
                <w:szCs w:val="20"/>
              </w:rPr>
              <w:footnoteReference w:id="3"/>
            </w:r>
            <w:r w:rsidR="00A75CF7" w:rsidRPr="00DC34BB">
              <w:rPr>
                <w:sz w:val="20"/>
                <w:szCs w:val="20"/>
              </w:rPr>
              <w:t xml:space="preserve"> or </w:t>
            </w:r>
            <w:r w:rsidRPr="00DC34BB">
              <w:rPr>
                <w:sz w:val="20"/>
                <w:szCs w:val="20"/>
              </w:rPr>
              <w:t>activity that requires a water licence</w:t>
            </w:r>
            <w:r w:rsidR="00FB19B6" w:rsidRPr="00DC34BB">
              <w:rPr>
                <w:sz w:val="20"/>
                <w:szCs w:val="20"/>
              </w:rPr>
              <w:t xml:space="preserve"> and/or a land use permit</w:t>
            </w:r>
            <w:r w:rsidRPr="00DC34BB">
              <w:rPr>
                <w:sz w:val="20"/>
                <w:szCs w:val="20"/>
              </w:rPr>
              <w:t>.</w:t>
            </w:r>
          </w:p>
        </w:tc>
      </w:tr>
      <w:tr w:rsidR="00961356" w:rsidRPr="00DC34BB" w14:paraId="51E6D2DF" w14:textId="77777777" w:rsidTr="000E00BF">
        <w:tc>
          <w:tcPr>
            <w:tcW w:w="3505" w:type="dxa"/>
            <w:vAlign w:val="center"/>
          </w:tcPr>
          <w:p w14:paraId="7CBB0CDE" w14:textId="603107C9" w:rsidR="00961356" w:rsidRPr="00DC34BB" w:rsidRDefault="00323CF7" w:rsidP="000E00BF">
            <w:pPr>
              <w:spacing w:after="0"/>
              <w:jc w:val="left"/>
              <w:rPr>
                <w:sz w:val="20"/>
                <w:szCs w:val="20"/>
              </w:rPr>
            </w:pPr>
            <w:commentRangeStart w:id="6"/>
            <w:r w:rsidRPr="00DC34BB">
              <w:rPr>
                <w:sz w:val="20"/>
                <w:szCs w:val="20"/>
              </w:rPr>
              <w:t xml:space="preserve">receiving environment </w:t>
            </w:r>
            <w:commentRangeEnd w:id="6"/>
            <w:r w:rsidR="00CD7088" w:rsidRPr="00DC34BB">
              <w:rPr>
                <w:rStyle w:val="CommentReference"/>
              </w:rPr>
              <w:commentReference w:id="6"/>
            </w:r>
          </w:p>
        </w:tc>
        <w:tc>
          <w:tcPr>
            <w:tcW w:w="5940" w:type="dxa"/>
            <w:vAlign w:val="center"/>
          </w:tcPr>
          <w:p w14:paraId="2EE99430" w14:textId="162D22F1" w:rsidR="00961356" w:rsidRPr="00DC34BB" w:rsidRDefault="00323CF7" w:rsidP="000E00BF">
            <w:pPr>
              <w:spacing w:after="0"/>
              <w:jc w:val="left"/>
              <w:rPr>
                <w:sz w:val="20"/>
                <w:szCs w:val="20"/>
              </w:rPr>
            </w:pPr>
            <w:r w:rsidRPr="00DC34BB">
              <w:rPr>
                <w:sz w:val="20"/>
                <w:szCs w:val="20"/>
              </w:rPr>
              <w:t>The natural environment that, directly or indirectly, receives any deposit of waste from a project</w:t>
            </w:r>
            <w:r w:rsidR="001838DB" w:rsidRPr="00DC34BB">
              <w:rPr>
                <w:sz w:val="20"/>
                <w:szCs w:val="20"/>
              </w:rPr>
              <w:t>.</w:t>
            </w:r>
          </w:p>
        </w:tc>
      </w:tr>
      <w:tr w:rsidR="002118C3" w:rsidRPr="00DC34BB" w14:paraId="3620811B" w14:textId="77777777" w:rsidTr="000E00BF">
        <w:tc>
          <w:tcPr>
            <w:tcW w:w="3505" w:type="dxa"/>
            <w:vAlign w:val="center"/>
          </w:tcPr>
          <w:p w14:paraId="036E53AA" w14:textId="428E32D3" w:rsidR="002118C3" w:rsidRPr="00DC34BB" w:rsidRDefault="002118C3" w:rsidP="000E00BF">
            <w:pPr>
              <w:spacing w:after="0"/>
              <w:jc w:val="left"/>
              <w:rPr>
                <w:sz w:val="20"/>
                <w:szCs w:val="20"/>
              </w:rPr>
            </w:pPr>
            <w:commentRangeStart w:id="7"/>
            <w:r w:rsidRPr="00DC34BB">
              <w:rPr>
                <w:sz w:val="20"/>
                <w:szCs w:val="20"/>
              </w:rPr>
              <w:t>regulated mixing zone</w:t>
            </w:r>
            <w:commentRangeEnd w:id="7"/>
            <w:r w:rsidR="00CD7088" w:rsidRPr="00DC34BB">
              <w:rPr>
                <w:rStyle w:val="CommentReference"/>
              </w:rPr>
              <w:commentReference w:id="7"/>
            </w:r>
          </w:p>
        </w:tc>
        <w:tc>
          <w:tcPr>
            <w:tcW w:w="5940" w:type="dxa"/>
            <w:vAlign w:val="center"/>
          </w:tcPr>
          <w:p w14:paraId="3A8C5EE0" w14:textId="5EE0AB4A" w:rsidR="002118C3" w:rsidRPr="00DC34BB" w:rsidRDefault="002118C3" w:rsidP="002118C3">
            <w:pPr>
              <w:spacing w:after="0"/>
              <w:jc w:val="left"/>
              <w:rPr>
                <w:sz w:val="20"/>
                <w:szCs w:val="20"/>
              </w:rPr>
            </w:pPr>
            <w:r w:rsidRPr="00DC34BB">
              <w:rPr>
                <w:sz w:val="20"/>
                <w:szCs w:val="20"/>
              </w:rPr>
              <w:t>The defined area contiguous with a point source (effluent discharge site) or a delimited non-point source where the discharge mixes with ambient water and where concentrations of some substances may not comply with water quality objectives that have been set site-specifically for the receiving environment.</w:t>
            </w:r>
          </w:p>
        </w:tc>
      </w:tr>
      <w:tr w:rsidR="00961356" w:rsidRPr="00DC34BB" w14:paraId="0B72C9B9" w14:textId="77777777" w:rsidTr="000E00BF">
        <w:tc>
          <w:tcPr>
            <w:tcW w:w="3505" w:type="dxa"/>
            <w:vAlign w:val="center"/>
          </w:tcPr>
          <w:p w14:paraId="1F34A242" w14:textId="2E89227D" w:rsidR="00961356" w:rsidRPr="00DC34BB" w:rsidRDefault="00323CF7" w:rsidP="000E00BF">
            <w:pPr>
              <w:spacing w:after="0"/>
              <w:jc w:val="left"/>
              <w:rPr>
                <w:sz w:val="20"/>
                <w:szCs w:val="20"/>
              </w:rPr>
            </w:pPr>
            <w:r w:rsidRPr="00DC34BB">
              <w:rPr>
                <w:sz w:val="20"/>
                <w:szCs w:val="20"/>
              </w:rPr>
              <w:t>SLWB</w:t>
            </w:r>
          </w:p>
        </w:tc>
        <w:tc>
          <w:tcPr>
            <w:tcW w:w="5940" w:type="dxa"/>
            <w:vAlign w:val="center"/>
          </w:tcPr>
          <w:p w14:paraId="4141915F" w14:textId="05AC0004" w:rsidR="00961356" w:rsidRPr="00DC34BB" w:rsidRDefault="00323CF7" w:rsidP="000E00BF">
            <w:pPr>
              <w:spacing w:after="0"/>
              <w:jc w:val="left"/>
              <w:rPr>
                <w:sz w:val="20"/>
                <w:szCs w:val="20"/>
              </w:rPr>
            </w:pPr>
            <w:r w:rsidRPr="00DC34BB">
              <w:rPr>
                <w:sz w:val="20"/>
                <w:szCs w:val="20"/>
              </w:rPr>
              <w:t>Sahtu Land and Water Board</w:t>
            </w:r>
          </w:p>
        </w:tc>
      </w:tr>
      <w:tr w:rsidR="00961356" w:rsidRPr="00DC34BB" w14:paraId="0B8DFD99" w14:textId="77777777" w:rsidTr="000E00BF">
        <w:tc>
          <w:tcPr>
            <w:tcW w:w="3505" w:type="dxa"/>
            <w:vAlign w:val="center"/>
          </w:tcPr>
          <w:p w14:paraId="4DB17A60" w14:textId="3BBFCCA6" w:rsidR="00961356" w:rsidRPr="00DC34BB" w:rsidRDefault="00323CF7" w:rsidP="000E00BF">
            <w:pPr>
              <w:spacing w:after="0"/>
              <w:jc w:val="left"/>
              <w:rPr>
                <w:sz w:val="20"/>
                <w:szCs w:val="20"/>
              </w:rPr>
            </w:pPr>
            <w:r w:rsidRPr="00DC34BB">
              <w:rPr>
                <w:sz w:val="20"/>
                <w:szCs w:val="20"/>
              </w:rPr>
              <w:t>SNP</w:t>
            </w:r>
          </w:p>
        </w:tc>
        <w:tc>
          <w:tcPr>
            <w:tcW w:w="5940" w:type="dxa"/>
            <w:vAlign w:val="center"/>
          </w:tcPr>
          <w:p w14:paraId="2CB0893F" w14:textId="16495192" w:rsidR="00961356" w:rsidRPr="00DC34BB" w:rsidRDefault="00323CF7" w:rsidP="000E00BF">
            <w:pPr>
              <w:spacing w:after="0"/>
              <w:jc w:val="left"/>
              <w:rPr>
                <w:sz w:val="20"/>
                <w:szCs w:val="20"/>
              </w:rPr>
            </w:pPr>
            <w:r w:rsidRPr="00DC34BB">
              <w:rPr>
                <w:sz w:val="20"/>
                <w:szCs w:val="20"/>
              </w:rPr>
              <w:t>Surveillance Network Program</w:t>
            </w:r>
          </w:p>
        </w:tc>
      </w:tr>
      <w:tr w:rsidR="00961356" w:rsidRPr="00DC34BB" w14:paraId="4B6C91EA" w14:textId="77777777" w:rsidTr="000E00BF">
        <w:tc>
          <w:tcPr>
            <w:tcW w:w="3505" w:type="dxa"/>
            <w:vAlign w:val="center"/>
          </w:tcPr>
          <w:p w14:paraId="30BB28A4" w14:textId="55122579" w:rsidR="00961356" w:rsidRPr="00DC34BB" w:rsidRDefault="00323CF7" w:rsidP="000E00BF">
            <w:pPr>
              <w:spacing w:after="0"/>
              <w:jc w:val="left"/>
              <w:rPr>
                <w:sz w:val="20"/>
                <w:szCs w:val="20"/>
              </w:rPr>
            </w:pPr>
            <w:r w:rsidRPr="00DC34BB">
              <w:rPr>
                <w:sz w:val="20"/>
                <w:szCs w:val="20"/>
              </w:rPr>
              <w:t>waste</w:t>
            </w:r>
          </w:p>
        </w:tc>
        <w:tc>
          <w:tcPr>
            <w:tcW w:w="5940" w:type="dxa"/>
            <w:vAlign w:val="center"/>
          </w:tcPr>
          <w:p w14:paraId="1712E875" w14:textId="0643FB25" w:rsidR="00961356" w:rsidRPr="00DC34BB" w:rsidRDefault="001838DB" w:rsidP="000E00BF">
            <w:pPr>
              <w:spacing w:after="0"/>
              <w:jc w:val="left"/>
              <w:rPr>
                <w:sz w:val="20"/>
                <w:szCs w:val="20"/>
              </w:rPr>
            </w:pPr>
            <w:r w:rsidRPr="00DC34BB">
              <w:rPr>
                <w:sz w:val="20"/>
                <w:szCs w:val="20"/>
              </w:rPr>
              <w:t xml:space="preserve">As defined in section 1 of the </w:t>
            </w:r>
            <w:r w:rsidRPr="00DC34BB">
              <w:rPr>
                <w:i/>
                <w:iCs/>
                <w:sz w:val="20"/>
                <w:szCs w:val="20"/>
              </w:rPr>
              <w:t>Waters Act</w:t>
            </w:r>
            <w:r w:rsidRPr="00DC34BB">
              <w:rPr>
                <w:sz w:val="20"/>
                <w:szCs w:val="20"/>
              </w:rPr>
              <w:t xml:space="preserve"> and section 51 of the MVRMA.</w:t>
            </w:r>
            <w:r w:rsidR="00323CF7" w:rsidRPr="00DC34BB">
              <w:rPr>
                <w:rStyle w:val="FootnoteReference"/>
                <w:sz w:val="20"/>
                <w:szCs w:val="20"/>
              </w:rPr>
              <w:footnoteReference w:id="4"/>
            </w:r>
          </w:p>
        </w:tc>
      </w:tr>
      <w:tr w:rsidR="000A5DF4" w:rsidRPr="00DC34BB" w14:paraId="7B5FA963" w14:textId="77777777" w:rsidTr="000E00BF">
        <w:tc>
          <w:tcPr>
            <w:tcW w:w="3505" w:type="dxa"/>
            <w:vAlign w:val="center"/>
          </w:tcPr>
          <w:p w14:paraId="3B2B23FF" w14:textId="499098A8" w:rsidR="000A5DF4" w:rsidRPr="00DC34BB" w:rsidRDefault="000A5DF4" w:rsidP="000E00BF">
            <w:pPr>
              <w:spacing w:after="0"/>
              <w:jc w:val="left"/>
              <w:rPr>
                <w:sz w:val="20"/>
                <w:szCs w:val="20"/>
              </w:rPr>
            </w:pPr>
            <w:r w:rsidRPr="00DC34BB">
              <w:rPr>
                <w:sz w:val="20"/>
                <w:szCs w:val="20"/>
              </w:rPr>
              <w:t>wastewater</w:t>
            </w:r>
          </w:p>
        </w:tc>
        <w:tc>
          <w:tcPr>
            <w:tcW w:w="5940" w:type="dxa"/>
            <w:vAlign w:val="center"/>
          </w:tcPr>
          <w:p w14:paraId="0110C4EF" w14:textId="395B95CA" w:rsidR="000A5DF4" w:rsidRPr="00DC34BB" w:rsidRDefault="0080360E" w:rsidP="000E00BF">
            <w:pPr>
              <w:spacing w:after="0"/>
              <w:jc w:val="left"/>
              <w:rPr>
                <w:sz w:val="20"/>
                <w:szCs w:val="20"/>
              </w:rPr>
            </w:pPr>
            <w:r w:rsidRPr="00DC34BB">
              <w:rPr>
                <w:sz w:val="20"/>
                <w:szCs w:val="20"/>
              </w:rPr>
              <w:t>Any water that is generated by project activities or originates on-site, and which contains waste, and may include, but is not limited to, runoff, seepage, sewage, minewater, and effluent.</w:t>
            </w:r>
          </w:p>
        </w:tc>
      </w:tr>
      <w:tr w:rsidR="00662D05" w:rsidRPr="00DC34BB" w14:paraId="4E6B5A63" w14:textId="77777777" w:rsidTr="000E00BF">
        <w:tc>
          <w:tcPr>
            <w:tcW w:w="3505" w:type="dxa"/>
            <w:vAlign w:val="center"/>
          </w:tcPr>
          <w:p w14:paraId="733494D4" w14:textId="329D6673" w:rsidR="00662D05" w:rsidRPr="00DC34BB" w:rsidRDefault="00662D05" w:rsidP="000E00BF">
            <w:pPr>
              <w:spacing w:after="0"/>
              <w:jc w:val="left"/>
              <w:rPr>
                <w:sz w:val="20"/>
                <w:szCs w:val="20"/>
              </w:rPr>
            </w:pPr>
            <w:commentRangeStart w:id="8"/>
            <w:r w:rsidRPr="00DC34BB">
              <w:rPr>
                <w:sz w:val="20"/>
                <w:szCs w:val="20"/>
              </w:rPr>
              <w:t>watercourse</w:t>
            </w:r>
            <w:commentRangeEnd w:id="8"/>
            <w:r w:rsidR="0036145E" w:rsidRPr="00DC34BB">
              <w:rPr>
                <w:rStyle w:val="CommentReference"/>
              </w:rPr>
              <w:commentReference w:id="8"/>
            </w:r>
          </w:p>
        </w:tc>
        <w:tc>
          <w:tcPr>
            <w:tcW w:w="5940" w:type="dxa"/>
            <w:vAlign w:val="center"/>
          </w:tcPr>
          <w:p w14:paraId="433E7716" w14:textId="6D3C6E9A" w:rsidR="00662D05" w:rsidRPr="00DC34BB" w:rsidRDefault="00F96EDA" w:rsidP="00347BDF">
            <w:pPr>
              <w:spacing w:after="0"/>
              <w:jc w:val="left"/>
              <w:rPr>
                <w:sz w:val="20"/>
                <w:szCs w:val="20"/>
              </w:rPr>
            </w:pPr>
            <w:r w:rsidRPr="00DC34BB">
              <w:rPr>
                <w:bCs/>
                <w:sz w:val="20"/>
                <w:szCs w:val="20"/>
              </w:rPr>
              <w:t xml:space="preserve">As defined in section 1 of the Waters Regulations and section 2 of the </w:t>
            </w:r>
            <w:r w:rsidR="006B5727" w:rsidRPr="00DC34BB">
              <w:rPr>
                <w:bCs/>
                <w:sz w:val="20"/>
                <w:szCs w:val="20"/>
              </w:rPr>
              <w:t>MVFAWR</w:t>
            </w:r>
            <w:r w:rsidRPr="00DC34BB">
              <w:rPr>
                <w:bCs/>
                <w:sz w:val="20"/>
                <w:szCs w:val="20"/>
              </w:rPr>
              <w:t xml:space="preserve">: a natural watercourse, body of </w:t>
            </w:r>
            <w:r w:rsidR="006B5727" w:rsidRPr="00DC34BB">
              <w:rPr>
                <w:bCs/>
                <w:sz w:val="20"/>
                <w:szCs w:val="20"/>
              </w:rPr>
              <w:t>w</w:t>
            </w:r>
            <w:r w:rsidRPr="00DC34BB">
              <w:rPr>
                <w:bCs/>
                <w:sz w:val="20"/>
                <w:szCs w:val="20"/>
              </w:rPr>
              <w:t xml:space="preserve">ater or </w:t>
            </w:r>
            <w:r w:rsidR="006B5727" w:rsidRPr="00DC34BB">
              <w:rPr>
                <w:bCs/>
                <w:sz w:val="20"/>
                <w:szCs w:val="20"/>
              </w:rPr>
              <w:t>w</w:t>
            </w:r>
            <w:r w:rsidRPr="00DC34BB">
              <w:rPr>
                <w:bCs/>
                <w:sz w:val="20"/>
                <w:szCs w:val="20"/>
              </w:rPr>
              <w:t xml:space="preserve">ater supply, whether usually containing </w:t>
            </w:r>
            <w:r w:rsidR="006B5727" w:rsidRPr="00DC34BB">
              <w:rPr>
                <w:bCs/>
                <w:sz w:val="20"/>
                <w:szCs w:val="20"/>
              </w:rPr>
              <w:t>w</w:t>
            </w:r>
            <w:r w:rsidRPr="00DC34BB">
              <w:rPr>
                <w:bCs/>
                <w:sz w:val="20"/>
                <w:szCs w:val="20"/>
              </w:rPr>
              <w:t xml:space="preserve">ater or not, and includes </w:t>
            </w:r>
            <w:r w:rsidR="006B5727" w:rsidRPr="00DC34BB">
              <w:rPr>
                <w:bCs/>
                <w:sz w:val="20"/>
                <w:szCs w:val="20"/>
              </w:rPr>
              <w:t>g</w:t>
            </w:r>
            <w:r w:rsidRPr="00DC34BB">
              <w:rPr>
                <w:bCs/>
                <w:sz w:val="20"/>
                <w:szCs w:val="20"/>
              </w:rPr>
              <w:t>roundwater, springs, swamps, and gulches.</w:t>
            </w:r>
          </w:p>
        </w:tc>
      </w:tr>
      <w:tr w:rsidR="000E00BF" w:rsidRPr="00DC34BB" w14:paraId="1DEA0EF8" w14:textId="77777777" w:rsidTr="000E00BF">
        <w:tc>
          <w:tcPr>
            <w:tcW w:w="3505" w:type="dxa"/>
            <w:vAlign w:val="center"/>
          </w:tcPr>
          <w:p w14:paraId="13C1826C" w14:textId="3350F627" w:rsidR="000E00BF" w:rsidRPr="00DC34BB" w:rsidRDefault="00347BDF" w:rsidP="000E00BF">
            <w:pPr>
              <w:spacing w:after="0"/>
              <w:jc w:val="left"/>
              <w:rPr>
                <w:sz w:val="20"/>
                <w:szCs w:val="20"/>
              </w:rPr>
            </w:pPr>
            <w:commentRangeStart w:id="9"/>
            <w:r w:rsidRPr="00DC34BB">
              <w:rPr>
                <w:sz w:val="20"/>
                <w:szCs w:val="20"/>
              </w:rPr>
              <w:lastRenderedPageBreak/>
              <w:t>water quality objective (WQO)</w:t>
            </w:r>
            <w:commentRangeEnd w:id="9"/>
            <w:r w:rsidR="001E14C3" w:rsidRPr="00DC34BB">
              <w:rPr>
                <w:rStyle w:val="CommentReference"/>
              </w:rPr>
              <w:commentReference w:id="9"/>
            </w:r>
          </w:p>
        </w:tc>
        <w:tc>
          <w:tcPr>
            <w:tcW w:w="5940" w:type="dxa"/>
            <w:vAlign w:val="center"/>
          </w:tcPr>
          <w:p w14:paraId="01B528C7" w14:textId="30C69F3E" w:rsidR="000E00BF" w:rsidRPr="00DC34BB" w:rsidRDefault="00347BDF" w:rsidP="00347BDF">
            <w:pPr>
              <w:spacing w:after="0"/>
              <w:jc w:val="left"/>
              <w:rPr>
                <w:sz w:val="20"/>
                <w:szCs w:val="20"/>
              </w:rPr>
            </w:pPr>
            <w:r w:rsidRPr="00DC34BB">
              <w:rPr>
                <w:sz w:val="20"/>
                <w:szCs w:val="20"/>
              </w:rPr>
              <w:t xml:space="preserve">A numerical concentration or narrative statement that has been established to protect the aquatic </w:t>
            </w:r>
            <w:r w:rsidR="001838DB" w:rsidRPr="00DC34BB">
              <w:rPr>
                <w:sz w:val="20"/>
                <w:szCs w:val="20"/>
              </w:rPr>
              <w:t xml:space="preserve">receiving </w:t>
            </w:r>
            <w:r w:rsidRPr="00DC34BB">
              <w:rPr>
                <w:sz w:val="20"/>
                <w:szCs w:val="20"/>
              </w:rPr>
              <w:t>environment at a specified site.</w:t>
            </w:r>
            <w:r w:rsidR="002B0796" w:rsidRPr="00DC34BB">
              <w:rPr>
                <w:rStyle w:val="FootnoteReference"/>
                <w:sz w:val="20"/>
                <w:szCs w:val="20"/>
              </w:rPr>
              <w:footnoteReference w:id="5"/>
            </w:r>
          </w:p>
        </w:tc>
      </w:tr>
      <w:tr w:rsidR="00323CF7" w:rsidRPr="00DC34BB" w14:paraId="5146ED71" w14:textId="77777777" w:rsidTr="000E00BF">
        <w:tc>
          <w:tcPr>
            <w:tcW w:w="3505" w:type="dxa"/>
            <w:vAlign w:val="center"/>
          </w:tcPr>
          <w:p w14:paraId="01960BA8" w14:textId="110ADF03" w:rsidR="00323CF7" w:rsidRPr="00DC34BB" w:rsidRDefault="00323CF7" w:rsidP="000E00BF">
            <w:pPr>
              <w:spacing w:after="0"/>
              <w:jc w:val="left"/>
              <w:rPr>
                <w:sz w:val="20"/>
                <w:szCs w:val="20"/>
              </w:rPr>
            </w:pPr>
            <w:r w:rsidRPr="00DC34BB">
              <w:rPr>
                <w:sz w:val="20"/>
                <w:szCs w:val="20"/>
              </w:rPr>
              <w:t>WLWB</w:t>
            </w:r>
          </w:p>
        </w:tc>
        <w:tc>
          <w:tcPr>
            <w:tcW w:w="5940" w:type="dxa"/>
            <w:vAlign w:val="center"/>
          </w:tcPr>
          <w:p w14:paraId="7449E0EE" w14:textId="75C28DBA" w:rsidR="00323CF7" w:rsidRPr="00DC34BB" w:rsidRDefault="00323CF7" w:rsidP="000E00BF">
            <w:pPr>
              <w:spacing w:after="0"/>
              <w:jc w:val="left"/>
              <w:rPr>
                <w:sz w:val="20"/>
                <w:szCs w:val="20"/>
              </w:rPr>
            </w:pPr>
            <w:r w:rsidRPr="00DC34BB">
              <w:rPr>
                <w:sz w:val="20"/>
                <w:szCs w:val="20"/>
              </w:rPr>
              <w:t>Wek’èezhìi Land and Water Board</w:t>
            </w:r>
          </w:p>
        </w:tc>
      </w:tr>
    </w:tbl>
    <w:p w14:paraId="660685B8" w14:textId="1F7E30A1" w:rsidR="00E32886" w:rsidRPr="00DC34BB" w:rsidRDefault="00E32886" w:rsidP="00E32886">
      <w:r w:rsidRPr="00DC34BB">
        <w:br w:type="page"/>
      </w:r>
    </w:p>
    <w:p w14:paraId="45EC41C5" w14:textId="11A2AF8D" w:rsidR="00C4384F" w:rsidRPr="00DC34BB" w:rsidRDefault="00C4384F" w:rsidP="00753AB9">
      <w:pPr>
        <w:pStyle w:val="Heading1"/>
      </w:pPr>
      <w:bookmarkStart w:id="10" w:name="_Toc89615526"/>
      <w:commentRangeStart w:id="11"/>
      <w:r w:rsidRPr="00DC34BB">
        <w:lastRenderedPageBreak/>
        <w:t>Introduction</w:t>
      </w:r>
      <w:commentRangeEnd w:id="11"/>
      <w:r w:rsidR="007E29D5" w:rsidRPr="00DC34BB">
        <w:rPr>
          <w:rStyle w:val="CommentReference"/>
          <w:rFonts w:eastAsiaTheme="minorHAnsi" w:cstheme="minorBidi"/>
          <w:b w:val="0"/>
          <w:u w:val="none"/>
        </w:rPr>
        <w:commentReference w:id="11"/>
      </w:r>
      <w:bookmarkEnd w:id="10"/>
    </w:p>
    <w:p w14:paraId="1BABE15B" w14:textId="443CB4EB" w:rsidR="00193ADF" w:rsidRPr="00DC34BB" w:rsidRDefault="00193ADF" w:rsidP="00C31D43">
      <w:r w:rsidRPr="00DC34BB">
        <w:t xml:space="preserve">The Land and Water Boards of the Mackenzie Valley (the LWBs or Boards) regulate the use of water and deposit of waste through the issuance of water licences (licences) in accordance with the </w:t>
      </w:r>
      <w:hyperlink r:id="rId25" w:history="1">
        <w:r w:rsidRPr="00DC34BB">
          <w:rPr>
            <w:rStyle w:val="Hyperlink"/>
            <w:i/>
            <w:iCs/>
          </w:rPr>
          <w:t>Waters Act</w:t>
        </w:r>
      </w:hyperlink>
      <w:r w:rsidRPr="00DC34BB">
        <w:rPr>
          <w:i/>
          <w:iCs/>
          <w:color w:val="0000FF"/>
        </w:rPr>
        <w:t xml:space="preserve"> </w:t>
      </w:r>
      <w:r w:rsidRPr="00DC34BB">
        <w:t xml:space="preserve">and </w:t>
      </w:r>
      <w:hyperlink r:id="rId26" w:history="1">
        <w:r w:rsidRPr="00DC34BB">
          <w:rPr>
            <w:rStyle w:val="Hyperlink"/>
          </w:rPr>
          <w:t>Waters Regulations</w:t>
        </w:r>
      </w:hyperlink>
      <w:r w:rsidRPr="00DC34BB">
        <w:t xml:space="preserve">, and the </w:t>
      </w:r>
      <w:hyperlink r:id="rId27" w:history="1">
        <w:r w:rsidRPr="00DC34BB">
          <w:rPr>
            <w:rStyle w:val="Hyperlink"/>
            <w:i/>
            <w:iCs/>
          </w:rPr>
          <w:t>Mackenzie Valley Resource Management Act</w:t>
        </w:r>
      </w:hyperlink>
      <w:r w:rsidRPr="00DC34BB">
        <w:rPr>
          <w:i/>
          <w:iCs/>
          <w:color w:val="0000FF"/>
        </w:rPr>
        <w:t xml:space="preserve"> </w:t>
      </w:r>
      <w:r w:rsidRPr="00DC34BB">
        <w:t xml:space="preserve">(MVRMA) and </w:t>
      </w:r>
      <w:hyperlink r:id="rId28" w:history="1">
        <w:r w:rsidRPr="00DC34BB">
          <w:rPr>
            <w:rStyle w:val="Hyperlink"/>
          </w:rPr>
          <w:t>Mackenzie Valley Federal Areas Waters Regulations</w:t>
        </w:r>
      </w:hyperlink>
      <w:r w:rsidRPr="00DC34BB">
        <w:rPr>
          <w:color w:val="0000FF"/>
        </w:rPr>
        <w:t xml:space="preserve"> </w:t>
      </w:r>
      <w:r w:rsidRPr="00DC34BB">
        <w:t xml:space="preserve">(MVFAWR). The </w:t>
      </w:r>
      <w:r w:rsidR="00DD7096" w:rsidRPr="00DC34BB">
        <w:t>LWBs</w:t>
      </w:r>
      <w:r w:rsidRPr="00DC34BB">
        <w:t xml:space="preserve"> regulate the use of land through the issuance of land use permits (permits) in accordance with the MVRMA and the </w:t>
      </w:r>
      <w:hyperlink r:id="rId29" w:history="1">
        <w:r w:rsidRPr="00DC34BB">
          <w:rPr>
            <w:rStyle w:val="Hyperlink"/>
          </w:rPr>
          <w:t>Mackenzie Valley Land Use Regulations</w:t>
        </w:r>
      </w:hyperlink>
      <w:r w:rsidRPr="00DC34BB">
        <w:rPr>
          <w:color w:val="0000FF"/>
        </w:rPr>
        <w:t xml:space="preserve"> </w:t>
      </w:r>
      <w:r w:rsidRPr="00DC34BB">
        <w:t>(MVLUR).</w:t>
      </w:r>
    </w:p>
    <w:p w14:paraId="098A4CBD" w14:textId="1542FCE3" w:rsidR="00E32886" w:rsidRPr="00DC34BB" w:rsidRDefault="00E32886" w:rsidP="00C4384F">
      <w:pPr>
        <w:pStyle w:val="Heading2"/>
      </w:pPr>
      <w:bookmarkStart w:id="12" w:name="_Purpose_of_this"/>
      <w:bookmarkStart w:id="13" w:name="_Toc89615527"/>
      <w:bookmarkEnd w:id="12"/>
      <w:r w:rsidRPr="00DC34BB">
        <w:t>Purpose of this Policy</w:t>
      </w:r>
      <w:bookmarkEnd w:id="13"/>
    </w:p>
    <w:p w14:paraId="52ECC1BE" w14:textId="507C51AD" w:rsidR="00753AB9" w:rsidRPr="00DC34BB" w:rsidRDefault="00753AB9" w:rsidP="00753AB9">
      <w:r w:rsidRPr="00DC34BB">
        <w:t xml:space="preserve">The purpose of the </w:t>
      </w:r>
      <w:r w:rsidR="00181713" w:rsidRPr="00DC34BB">
        <w:t>Waste</w:t>
      </w:r>
      <w:r w:rsidRPr="00DC34BB">
        <w:t xml:space="preserve"> Management Policy (the Policy) is to describe the </w:t>
      </w:r>
      <w:r w:rsidR="00323A3F" w:rsidRPr="00DC34BB">
        <w:t xml:space="preserve">LWBs’ </w:t>
      </w:r>
      <w:r w:rsidRPr="00DC34BB">
        <w:t>approach to managing the</w:t>
      </w:r>
      <w:r w:rsidR="00E4723F" w:rsidRPr="00DC34BB">
        <w:t xml:space="preserve"> discharge or</w:t>
      </w:r>
      <w:r w:rsidRPr="00DC34BB">
        <w:t xml:space="preserve"> deposit of waste to the receiving environment through enforceable conditions set in water licences</w:t>
      </w:r>
      <w:r w:rsidR="00181713" w:rsidRPr="00DC34BB">
        <w:t xml:space="preserve"> </w:t>
      </w:r>
      <w:commentRangeStart w:id="14"/>
      <w:r w:rsidR="00181713" w:rsidRPr="00DC34BB">
        <w:t>and land use permits</w:t>
      </w:r>
      <w:commentRangeEnd w:id="14"/>
      <w:r w:rsidR="00D844D0" w:rsidRPr="00DC34BB">
        <w:rPr>
          <w:rStyle w:val="CommentReference"/>
        </w:rPr>
        <w:commentReference w:id="14"/>
      </w:r>
      <w:r w:rsidRPr="00DC34BB">
        <w:t>. Such conditions include, but are not limited to</w:t>
      </w:r>
      <w:r w:rsidR="00583E95" w:rsidRPr="00DC34BB">
        <w:t>,</w:t>
      </w:r>
      <w:r w:rsidR="00AC7977" w:rsidRPr="00DC34BB">
        <w:t xml:space="preserve"> </w:t>
      </w:r>
      <w:r w:rsidR="00583E95" w:rsidRPr="00DC34BB">
        <w:t xml:space="preserve">specifications for waste management practices; requirements for plans and reports; </w:t>
      </w:r>
      <w:commentRangeStart w:id="15"/>
      <w:r w:rsidR="00CE386D" w:rsidRPr="00DC34BB">
        <w:t>discharge criteria</w:t>
      </w:r>
      <w:commentRangeEnd w:id="15"/>
      <w:r w:rsidR="00CE386D" w:rsidRPr="00DC34BB">
        <w:rPr>
          <w:rStyle w:val="CommentReference"/>
        </w:rPr>
        <w:commentReference w:id="15"/>
      </w:r>
      <w:r w:rsidR="00583E95" w:rsidRPr="00DC34BB">
        <w:t>; monitoring requirements; and the incorporation of adaptive management.</w:t>
      </w:r>
      <w:r w:rsidR="00583E95" w:rsidRPr="00DC34BB">
        <w:rPr>
          <w:rStyle w:val="FootnoteReference"/>
        </w:rPr>
        <w:footnoteReference w:id="6"/>
      </w:r>
    </w:p>
    <w:p w14:paraId="5FD16C7D" w14:textId="7A31485E" w:rsidR="00753AB9" w:rsidRPr="00DC34BB" w:rsidRDefault="00753AB9" w:rsidP="00753AB9">
      <w:r w:rsidRPr="00DC34BB">
        <w:t xml:space="preserve">The </w:t>
      </w:r>
      <w:r w:rsidR="00323A3F" w:rsidRPr="00DC34BB">
        <w:t xml:space="preserve">LWBs </w:t>
      </w:r>
      <w:r w:rsidR="00E03F87" w:rsidRPr="00DC34BB">
        <w:t xml:space="preserve">developed </w:t>
      </w:r>
      <w:r w:rsidRPr="00DC34BB">
        <w:t>this Policy</w:t>
      </w:r>
      <w:r w:rsidR="00E03F87" w:rsidRPr="00DC34BB">
        <w:t xml:space="preserve"> to clarify the </w:t>
      </w:r>
      <w:r w:rsidR="0048779C" w:rsidRPr="00DC34BB">
        <w:t>LWBs</w:t>
      </w:r>
      <w:r w:rsidR="00E03F87" w:rsidRPr="00DC34BB">
        <w:t xml:space="preserve">’ expectations and to support clear, timely, consistent, and transparent licensing </w:t>
      </w:r>
      <w:r w:rsidR="0048779C" w:rsidRPr="00DC34BB">
        <w:t xml:space="preserve">and permitting </w:t>
      </w:r>
      <w:r w:rsidR="00E03F87" w:rsidRPr="00DC34BB">
        <w:t>decisions.</w:t>
      </w:r>
      <w:r w:rsidRPr="00DC34BB">
        <w:t xml:space="preserve"> By referencing this Policy, </w:t>
      </w:r>
      <w:r w:rsidR="00E03F87" w:rsidRPr="00DC34BB">
        <w:t>applicants</w:t>
      </w:r>
      <w:r w:rsidRPr="00DC34BB">
        <w:t xml:space="preserve">, </w:t>
      </w:r>
      <w:r w:rsidR="00E03F87" w:rsidRPr="00DC34BB">
        <w:t xml:space="preserve">licensees, </w:t>
      </w:r>
      <w:r w:rsidR="0048779C" w:rsidRPr="00DC34BB">
        <w:t xml:space="preserve">permittees, </w:t>
      </w:r>
      <w:r w:rsidRPr="00DC34BB">
        <w:t xml:space="preserve">and </w:t>
      </w:r>
      <w:r w:rsidR="00A77E7C" w:rsidRPr="00DC34BB">
        <w:t>all</w:t>
      </w:r>
      <w:r w:rsidRPr="00DC34BB">
        <w:t xml:space="preserve"> parties</w:t>
      </w:r>
      <w:r w:rsidR="00A77E7C" w:rsidRPr="00DC34BB">
        <w:t xml:space="preserve"> involved in the regulatory process</w:t>
      </w:r>
      <w:r w:rsidRPr="00DC34BB">
        <w:t xml:space="preserve"> will be able to make more informed submissions to the </w:t>
      </w:r>
      <w:r w:rsidR="00FD5790" w:rsidRPr="00DC34BB">
        <w:t xml:space="preserve">LWBs </w:t>
      </w:r>
      <w:r w:rsidRPr="00DC34BB">
        <w:t xml:space="preserve">which will, in turn, lead to more efficient and effective </w:t>
      </w:r>
      <w:r w:rsidR="00FD5790" w:rsidRPr="00DC34BB">
        <w:t xml:space="preserve">LWB </w:t>
      </w:r>
      <w:r w:rsidRPr="00DC34BB">
        <w:t>processes and decisions.</w:t>
      </w:r>
    </w:p>
    <w:p w14:paraId="4AA2B216" w14:textId="7FD19C0B" w:rsidR="00621325" w:rsidRPr="00DC34BB" w:rsidRDefault="00621325" w:rsidP="00753AB9">
      <w:commentRangeStart w:id="16"/>
      <w:r w:rsidRPr="00DC34BB">
        <w:t>This Policy is supported by other</w:t>
      </w:r>
      <w:r w:rsidR="002C2A14" w:rsidRPr="00DC34BB">
        <w:t xml:space="preserve"> LWB</w:t>
      </w:r>
      <w:r w:rsidRPr="00DC34BB">
        <w:t xml:space="preserve"> guidance documents, including:</w:t>
      </w:r>
      <w:commentRangeEnd w:id="16"/>
      <w:r w:rsidR="00E71E93" w:rsidRPr="00DC34BB">
        <w:rPr>
          <w:rStyle w:val="CommentReference"/>
        </w:rPr>
        <w:commentReference w:id="16"/>
      </w:r>
    </w:p>
    <w:p w14:paraId="3401C76B" w14:textId="7BAEBF1B" w:rsidR="00583E95" w:rsidRPr="00DC34BB" w:rsidRDefault="00583E95" w:rsidP="00583E95">
      <w:pPr>
        <w:pStyle w:val="ListParagraph"/>
        <w:numPr>
          <w:ilvl w:val="0"/>
          <w:numId w:val="24"/>
        </w:numPr>
      </w:pPr>
      <w:r w:rsidRPr="00DC34BB">
        <w:t xml:space="preserve">MVLWB </w:t>
      </w:r>
      <w:hyperlink r:id="rId30" w:history="1">
        <w:r w:rsidRPr="00DC34BB">
          <w:rPr>
            <w:rStyle w:val="Hyperlink"/>
            <w:i/>
            <w:iCs/>
          </w:rPr>
          <w:t>Guide to the Water Licensing Process</w:t>
        </w:r>
      </w:hyperlink>
    </w:p>
    <w:p w14:paraId="79E673F4" w14:textId="04C7D948" w:rsidR="0079282D" w:rsidRPr="00DC34BB" w:rsidRDefault="0079282D" w:rsidP="00583E95">
      <w:pPr>
        <w:pStyle w:val="ListParagraph"/>
        <w:numPr>
          <w:ilvl w:val="0"/>
          <w:numId w:val="24"/>
        </w:numPr>
      </w:pPr>
      <w:r w:rsidRPr="00DC34BB">
        <w:t>M</w:t>
      </w:r>
      <w:r w:rsidR="008529C4" w:rsidRPr="00DC34BB">
        <w:t>V</w:t>
      </w:r>
      <w:r w:rsidRPr="00DC34BB">
        <w:t xml:space="preserve">LWB </w:t>
      </w:r>
      <w:hyperlink r:id="rId31" w:history="1">
        <w:r w:rsidRPr="00DC34BB">
          <w:rPr>
            <w:rStyle w:val="Hyperlink"/>
            <w:i/>
            <w:iCs/>
          </w:rPr>
          <w:t>Guide to the Land Use Permitting Process</w:t>
        </w:r>
      </w:hyperlink>
    </w:p>
    <w:p w14:paraId="23B10CAA" w14:textId="3D8198D7" w:rsidR="00A02A6A" w:rsidRPr="00DC34BB" w:rsidRDefault="00A02A6A" w:rsidP="004E5B25">
      <w:pPr>
        <w:pStyle w:val="ListParagraph"/>
        <w:numPr>
          <w:ilvl w:val="0"/>
          <w:numId w:val="24"/>
        </w:numPr>
      </w:pPr>
      <w:r w:rsidRPr="00DC34BB">
        <w:t xml:space="preserve">MVLWB </w:t>
      </w:r>
      <w:hyperlink r:id="rId32" w:history="1">
        <w:r w:rsidRPr="00DC34BB">
          <w:rPr>
            <w:rStyle w:val="Hyperlink"/>
          </w:rPr>
          <w:t>Resources for Municipalities</w:t>
        </w:r>
      </w:hyperlink>
      <w:r w:rsidRPr="00DC34BB">
        <w:t xml:space="preserve"> (webpage)</w:t>
      </w:r>
    </w:p>
    <w:p w14:paraId="434C1BCD" w14:textId="25E28153" w:rsidR="00583E95" w:rsidRPr="00DC34BB" w:rsidRDefault="00583E95" w:rsidP="00583E95">
      <w:pPr>
        <w:pStyle w:val="ListParagraph"/>
        <w:numPr>
          <w:ilvl w:val="0"/>
          <w:numId w:val="24"/>
        </w:numPr>
      </w:pPr>
      <w:r w:rsidRPr="00DC34BB">
        <w:t xml:space="preserve">MVLWB </w:t>
      </w:r>
      <w:hyperlink r:id="rId33" w:history="1">
        <w:r w:rsidRPr="00DC34BB">
          <w:rPr>
            <w:rStyle w:val="Hyperlink"/>
            <w:i/>
            <w:iCs/>
          </w:rPr>
          <w:t xml:space="preserve">Standard Water Licence Conditions </w:t>
        </w:r>
        <w:r w:rsidR="00CA4D71" w:rsidRPr="00DC34BB">
          <w:rPr>
            <w:rStyle w:val="Hyperlink"/>
            <w:i/>
            <w:iCs/>
          </w:rPr>
          <w:t xml:space="preserve">and Schedules </w:t>
        </w:r>
        <w:r w:rsidRPr="00DC34BB">
          <w:rPr>
            <w:rStyle w:val="Hyperlink"/>
            <w:i/>
            <w:iCs/>
          </w:rPr>
          <w:t>Template</w:t>
        </w:r>
      </w:hyperlink>
    </w:p>
    <w:p w14:paraId="7D8814B5" w14:textId="4292297A" w:rsidR="00B72CEC" w:rsidRPr="00DC34BB" w:rsidRDefault="00B72CEC" w:rsidP="00583E95">
      <w:pPr>
        <w:pStyle w:val="ListParagraph"/>
        <w:numPr>
          <w:ilvl w:val="0"/>
          <w:numId w:val="24"/>
        </w:numPr>
      </w:pPr>
      <w:r w:rsidRPr="00DC34BB">
        <w:t xml:space="preserve">MVLWB </w:t>
      </w:r>
      <w:hyperlink r:id="rId34" w:history="1">
        <w:r w:rsidR="00F53669" w:rsidRPr="00DC34BB">
          <w:rPr>
            <w:rStyle w:val="Hyperlink"/>
            <w:i/>
            <w:iCs/>
          </w:rPr>
          <w:t>Standard Land Use Permit Conditions Template</w:t>
        </w:r>
      </w:hyperlink>
    </w:p>
    <w:p w14:paraId="2980C918" w14:textId="77777777" w:rsidR="00583E95" w:rsidRPr="00DC34BB" w:rsidRDefault="00583E95" w:rsidP="00583E95">
      <w:pPr>
        <w:pStyle w:val="ListParagraph"/>
        <w:numPr>
          <w:ilvl w:val="0"/>
          <w:numId w:val="24"/>
        </w:numPr>
      </w:pPr>
      <w:r w:rsidRPr="00DC34BB">
        <w:t xml:space="preserve">MVLWB </w:t>
      </w:r>
      <w:hyperlink r:id="rId35" w:history="1">
        <w:r w:rsidRPr="00DC34BB">
          <w:rPr>
            <w:rStyle w:val="Hyperlink"/>
            <w:i/>
            <w:iCs/>
          </w:rPr>
          <w:t>Guidelines for Developing a Waste Management Plan</w:t>
        </w:r>
      </w:hyperlink>
    </w:p>
    <w:p w14:paraId="753E1466" w14:textId="77777777" w:rsidR="004F6A1F" w:rsidRPr="00DC34BB" w:rsidRDefault="004F6A1F" w:rsidP="004F6A1F">
      <w:pPr>
        <w:pStyle w:val="ListParagraph"/>
        <w:numPr>
          <w:ilvl w:val="0"/>
          <w:numId w:val="24"/>
        </w:numPr>
      </w:pPr>
      <w:r w:rsidRPr="00DC34BB">
        <w:t xml:space="preserve">MVLWB/IWB/GNWT </w:t>
      </w:r>
      <w:hyperlink r:id="rId36" w:history="1">
        <w:r w:rsidRPr="00DC34BB">
          <w:rPr>
            <w:rStyle w:val="Hyperlink"/>
            <w:i/>
            <w:iCs/>
          </w:rPr>
          <w:t>Guideline for the Design, Construction, Operation, Monitoring, Maintenance, and Closure of Petroleum Hydrocarbon-Contaminated Soil Treatment Facilities in the Northwest Territories</w:t>
        </w:r>
      </w:hyperlink>
    </w:p>
    <w:p w14:paraId="17119DB5" w14:textId="6387EA41" w:rsidR="00621325" w:rsidRPr="00DC34BB" w:rsidRDefault="00621325" w:rsidP="00621325">
      <w:pPr>
        <w:pStyle w:val="ListParagraph"/>
        <w:numPr>
          <w:ilvl w:val="0"/>
          <w:numId w:val="24"/>
        </w:numPr>
      </w:pPr>
      <w:r w:rsidRPr="00DC34BB">
        <w:t xml:space="preserve">MVLWB/GNWT </w:t>
      </w:r>
      <w:hyperlink r:id="rId37" w:history="1">
        <w:r w:rsidRPr="00DC34BB">
          <w:rPr>
            <w:rStyle w:val="Hyperlink"/>
            <w:i/>
            <w:iCs/>
          </w:rPr>
          <w:t>Guidelines for Effluent Mixing Zones</w:t>
        </w:r>
      </w:hyperlink>
    </w:p>
    <w:p w14:paraId="7032B1F4" w14:textId="792330E3" w:rsidR="00D8717D" w:rsidRPr="00DC34BB" w:rsidRDefault="00D8717D" w:rsidP="00621325">
      <w:pPr>
        <w:pStyle w:val="ListParagraph"/>
        <w:numPr>
          <w:ilvl w:val="0"/>
          <w:numId w:val="24"/>
        </w:numPr>
        <w:rPr>
          <w:i/>
          <w:iCs/>
        </w:rPr>
      </w:pPr>
      <w:r w:rsidRPr="00DC34BB">
        <w:t xml:space="preserve">MVLWB </w:t>
      </w:r>
      <w:r w:rsidR="008E1B7F" w:rsidRPr="00DC34BB">
        <w:rPr>
          <w:i/>
          <w:iCs/>
        </w:rPr>
        <w:t>Standard Process</w:t>
      </w:r>
      <w:commentRangeStart w:id="17"/>
      <w:r w:rsidR="007E6170" w:rsidRPr="00DC34BB">
        <w:rPr>
          <w:i/>
          <w:iCs/>
        </w:rPr>
        <w:t xml:space="preserve"> for Setting Effluent Quality Criteria</w:t>
      </w:r>
      <w:commentRangeEnd w:id="17"/>
      <w:r w:rsidR="002853B5" w:rsidRPr="00DC34BB">
        <w:rPr>
          <w:rStyle w:val="CommentReference"/>
        </w:rPr>
        <w:commentReference w:id="17"/>
      </w:r>
    </w:p>
    <w:p w14:paraId="10CDC2A8" w14:textId="4815CD02" w:rsidR="00621325" w:rsidRPr="00DC34BB" w:rsidRDefault="00621325" w:rsidP="00621325">
      <w:pPr>
        <w:pStyle w:val="ListParagraph"/>
        <w:numPr>
          <w:ilvl w:val="0"/>
          <w:numId w:val="24"/>
        </w:numPr>
      </w:pPr>
      <w:r w:rsidRPr="00DC34BB">
        <w:t xml:space="preserve">MVLWB/GNWT </w:t>
      </w:r>
      <w:hyperlink r:id="rId38" w:history="1">
        <w:r w:rsidRPr="00DC34BB">
          <w:rPr>
            <w:rStyle w:val="Hyperlink"/>
            <w:i/>
            <w:iCs/>
          </w:rPr>
          <w:t>Guidelines for Aquatic Effect</w:t>
        </w:r>
        <w:r w:rsidR="000A2B36" w:rsidRPr="00DC34BB">
          <w:rPr>
            <w:rStyle w:val="Hyperlink"/>
            <w:i/>
            <w:iCs/>
          </w:rPr>
          <w:t>s</w:t>
        </w:r>
        <w:r w:rsidRPr="00DC34BB">
          <w:rPr>
            <w:rStyle w:val="Hyperlink"/>
            <w:i/>
            <w:iCs/>
          </w:rPr>
          <w:t xml:space="preserve"> Monitoring Programs</w:t>
        </w:r>
      </w:hyperlink>
    </w:p>
    <w:p w14:paraId="006B408E" w14:textId="305CA52C" w:rsidR="002338EF" w:rsidRPr="00DC34BB" w:rsidRDefault="00621325" w:rsidP="00446C2E">
      <w:pPr>
        <w:pStyle w:val="ListParagraph"/>
        <w:numPr>
          <w:ilvl w:val="0"/>
          <w:numId w:val="24"/>
        </w:numPr>
      </w:pPr>
      <w:commentRangeStart w:id="18"/>
      <w:r w:rsidRPr="00DC34BB">
        <w:t>MVLWB</w:t>
      </w:r>
      <w:r w:rsidR="00DD36F0" w:rsidRPr="00DC34BB">
        <w:t>/AANDC</w:t>
      </w:r>
      <w:r w:rsidRPr="00DC34BB">
        <w:t xml:space="preserve"> </w:t>
      </w:r>
      <w:hyperlink r:id="rId39" w:history="1">
        <w:r w:rsidRPr="00DC34BB">
          <w:rPr>
            <w:rStyle w:val="Hyperlink"/>
            <w:i/>
            <w:iCs/>
          </w:rPr>
          <w:t xml:space="preserve">Guidelines </w:t>
        </w:r>
        <w:r w:rsidR="000A2B36" w:rsidRPr="00DC34BB">
          <w:rPr>
            <w:rStyle w:val="Hyperlink"/>
            <w:i/>
            <w:iCs/>
          </w:rPr>
          <w:t>for Closure and Reclamation of Advanced Mineral Exploration and Mine Sites in the Northwest Territories</w:t>
        </w:r>
        <w:commentRangeEnd w:id="18"/>
        <w:r w:rsidR="00123178" w:rsidRPr="00DC34BB">
          <w:rPr>
            <w:rStyle w:val="Hyperlink"/>
            <w:i/>
            <w:iCs/>
            <w:sz w:val="16"/>
            <w:szCs w:val="16"/>
          </w:rPr>
          <w:commentReference w:id="18"/>
        </w:r>
      </w:hyperlink>
    </w:p>
    <w:p w14:paraId="1B95EC76" w14:textId="44E01ADF" w:rsidR="001D5976" w:rsidRPr="00DC34BB" w:rsidRDefault="001D5976" w:rsidP="001D5976">
      <w:pPr>
        <w:pStyle w:val="ListParagraph"/>
        <w:numPr>
          <w:ilvl w:val="0"/>
          <w:numId w:val="24"/>
        </w:numPr>
      </w:pPr>
      <w:r w:rsidRPr="00DC34BB">
        <w:rPr>
          <w:rFonts w:cstheme="minorHAnsi"/>
          <w:spacing w:val="2"/>
        </w:rPr>
        <w:t xml:space="preserve">MVLWB </w:t>
      </w:r>
      <w:hyperlink r:id="rId40" w:history="1">
        <w:r w:rsidRPr="00DC34BB">
          <w:rPr>
            <w:rStyle w:val="Hyperlink"/>
            <w:rFonts w:cstheme="minorHAnsi"/>
            <w:i/>
            <w:iCs/>
            <w:spacing w:val="2"/>
          </w:rPr>
          <w:t>Engagement and Consultation Policy</w:t>
        </w:r>
      </w:hyperlink>
    </w:p>
    <w:p w14:paraId="22D822AC" w14:textId="5149E9A9" w:rsidR="001D5976" w:rsidRPr="00DC34BB" w:rsidRDefault="001D5976" w:rsidP="001D5976">
      <w:pPr>
        <w:pStyle w:val="ListParagraph"/>
        <w:numPr>
          <w:ilvl w:val="0"/>
          <w:numId w:val="24"/>
        </w:numPr>
      </w:pPr>
      <w:r w:rsidRPr="00DC34BB">
        <w:rPr>
          <w:rFonts w:cstheme="minorHAnsi"/>
          <w:spacing w:val="2"/>
        </w:rPr>
        <w:lastRenderedPageBreak/>
        <w:t xml:space="preserve">MVLWB </w:t>
      </w:r>
      <w:hyperlink r:id="rId41" w:history="1">
        <w:r w:rsidRPr="00DC34BB">
          <w:rPr>
            <w:rStyle w:val="Hyperlink"/>
            <w:rFonts w:cstheme="minorHAnsi"/>
            <w:i/>
            <w:iCs/>
            <w:spacing w:val="2"/>
          </w:rPr>
          <w:t>Engagement Guidelines for Applicants and Holders of Water Licences and Land Use Permits</w:t>
        </w:r>
      </w:hyperlink>
    </w:p>
    <w:p w14:paraId="6B316782" w14:textId="77777777" w:rsidR="001D5976" w:rsidRPr="00DC34BB" w:rsidRDefault="003F66EE" w:rsidP="001D5976">
      <w:pPr>
        <w:pStyle w:val="ListParagraph"/>
        <w:numPr>
          <w:ilvl w:val="0"/>
          <w:numId w:val="24"/>
        </w:numPr>
      </w:pPr>
      <w:hyperlink r:id="rId42" w:history="1">
        <w:r w:rsidR="001D5976" w:rsidRPr="00DC34BB">
          <w:rPr>
            <w:rStyle w:val="Hyperlink"/>
            <w:rFonts w:cstheme="minorHAnsi"/>
            <w:i/>
            <w:iCs/>
          </w:rPr>
          <w:t>Information for Proponents on the MVLWB’s Engagement Guidelines</w:t>
        </w:r>
      </w:hyperlink>
    </w:p>
    <w:p w14:paraId="17F80003" w14:textId="333558EA" w:rsidR="00884D5C" w:rsidRPr="00DC34BB" w:rsidDel="007D6539" w:rsidRDefault="00DD36F0" w:rsidP="001205C2">
      <w:r w:rsidRPr="00DC34BB">
        <w:t xml:space="preserve">All of these resources, along with links to some relevant guidance produced by other agencies, are available on any of the </w:t>
      </w:r>
      <w:r w:rsidR="00AE5F26" w:rsidRPr="00DC34BB">
        <w:t>LWB</w:t>
      </w:r>
      <w:r w:rsidRPr="00DC34BB">
        <w:t xml:space="preserve"> websites</w:t>
      </w:r>
      <w:r w:rsidR="00634687" w:rsidRPr="00DC34BB">
        <w:t>, and</w:t>
      </w:r>
      <w:r w:rsidRPr="00DC34BB">
        <w:t xml:space="preserve"> new resources are added to the websites as they become available.</w:t>
      </w:r>
      <w:r w:rsidRPr="00DC34BB">
        <w:rPr>
          <w:rStyle w:val="FootnoteReference"/>
        </w:rPr>
        <w:footnoteReference w:id="7"/>
      </w:r>
      <w:r w:rsidRPr="00DC34BB">
        <w:rPr>
          <w:rStyle w:val="FootnoteReference"/>
        </w:rPr>
        <w:t xml:space="preserve"> </w:t>
      </w:r>
      <w:r w:rsidR="00687107" w:rsidRPr="00DC34BB">
        <w:t xml:space="preserve"> Applicants</w:t>
      </w:r>
      <w:r w:rsidR="006902E0" w:rsidRPr="00DC34BB">
        <w:t>, licensees,</w:t>
      </w:r>
      <w:r w:rsidR="00687107" w:rsidRPr="00DC34BB">
        <w:t xml:space="preserve"> </w:t>
      </w:r>
      <w:r w:rsidR="00DB29EA" w:rsidRPr="00DC34BB">
        <w:t xml:space="preserve">permittees, </w:t>
      </w:r>
      <w:r w:rsidR="00687107" w:rsidRPr="00DC34BB">
        <w:t xml:space="preserve">and all parties should ensure that they are using the most recent version of all guidance documents. </w:t>
      </w:r>
    </w:p>
    <w:p w14:paraId="2DC6F827" w14:textId="183C0E9A" w:rsidR="00E32886" w:rsidRPr="00DC34BB" w:rsidRDefault="00E32886" w:rsidP="00721265">
      <w:pPr>
        <w:pStyle w:val="Heading2"/>
      </w:pPr>
      <w:bookmarkStart w:id="19" w:name="_Toc84401192"/>
      <w:bookmarkStart w:id="20" w:name="_Toc89615528"/>
      <w:bookmarkEnd w:id="19"/>
      <w:commentRangeStart w:id="21"/>
      <w:r w:rsidRPr="00DC34BB">
        <w:t>Authority</w:t>
      </w:r>
      <w:commentRangeEnd w:id="21"/>
      <w:r w:rsidR="00A13409" w:rsidRPr="00DC34BB">
        <w:rPr>
          <w:rStyle w:val="CommentReference"/>
          <w:rFonts w:eastAsiaTheme="minorHAnsi" w:cstheme="minorBidi"/>
          <w:b w:val="0"/>
        </w:rPr>
        <w:commentReference w:id="21"/>
      </w:r>
      <w:bookmarkEnd w:id="20"/>
    </w:p>
    <w:p w14:paraId="14C35BDE" w14:textId="5D2BCDFB" w:rsidR="007125A0" w:rsidRPr="00DC34BB" w:rsidDel="007125A0" w:rsidRDefault="00753AB9" w:rsidP="00753AB9">
      <w:r w:rsidRPr="00DC34BB">
        <w:t xml:space="preserve">The </w:t>
      </w:r>
      <w:r w:rsidR="009660E4" w:rsidRPr="00DC34BB">
        <w:t>LWBs</w:t>
      </w:r>
      <w:r w:rsidRPr="00DC34BB">
        <w:t xml:space="preserve">’ authority to develop and implement this Policy is granted under sections 65, 102, and 106 of the MVRMA. </w:t>
      </w:r>
      <w:r w:rsidR="007125A0" w:rsidRPr="00DC34BB">
        <w:t>In particular, section 106 of the MVRMA gives the MVLWB the responsibility to “issue directions on general policy matters or on matters concerning the use of land or waters or the deposit of waste that, in the Board’s opinion, require consistent application throughout the Mackenzie Valley</w:t>
      </w:r>
      <w:r w:rsidR="002B4B0E" w:rsidRPr="00DC34BB">
        <w:t>.</w:t>
      </w:r>
      <w:r w:rsidR="007125A0" w:rsidRPr="00DC34BB">
        <w:t xml:space="preserve">” </w:t>
      </w:r>
    </w:p>
    <w:p w14:paraId="22F2D489" w14:textId="58209F50" w:rsidR="00997CB4" w:rsidRPr="00DC34BB" w:rsidRDefault="00997CB4" w:rsidP="00683CF0">
      <w:commentRangeStart w:id="22"/>
      <w:r w:rsidRPr="00DC34BB">
        <w:t xml:space="preserve">Under </w:t>
      </w:r>
      <w:r w:rsidR="00191C06" w:rsidRPr="00DC34BB">
        <w:t>subsection 26(1) of the MVLUR</w:t>
      </w:r>
      <w:r w:rsidR="000745C1" w:rsidRPr="00DC34BB">
        <w:t>, the LWBs have the authority to</w:t>
      </w:r>
      <w:r w:rsidR="006318A1" w:rsidRPr="00DC34BB">
        <w:t xml:space="preserve"> set </w:t>
      </w:r>
      <w:r w:rsidR="001941A9" w:rsidRPr="00DC34BB">
        <w:t xml:space="preserve">permit </w:t>
      </w:r>
      <w:r w:rsidR="006318A1" w:rsidRPr="00DC34BB">
        <w:t xml:space="preserve">conditions </w:t>
      </w:r>
      <w:r w:rsidR="000F513E" w:rsidRPr="00DC34BB">
        <w:t>regarding various aspects of a project</w:t>
      </w:r>
      <w:r w:rsidR="004A4F70" w:rsidRPr="00DC34BB">
        <w:t>, several of which are directly or indirectly</w:t>
      </w:r>
      <w:r w:rsidR="001E775A" w:rsidRPr="00DC34BB">
        <w:t xml:space="preserve"> rel</w:t>
      </w:r>
      <w:r w:rsidR="004A4F70" w:rsidRPr="00DC34BB">
        <w:t>ated</w:t>
      </w:r>
      <w:r w:rsidR="001E775A" w:rsidRPr="00DC34BB">
        <w:t xml:space="preserve"> to waste management</w:t>
      </w:r>
      <w:r w:rsidR="003E5FF4" w:rsidRPr="00DC34BB">
        <w:t xml:space="preserve">. </w:t>
      </w:r>
      <w:r w:rsidR="00A10E7F" w:rsidRPr="00DC34BB">
        <w:t xml:space="preserve">Similarly, under </w:t>
      </w:r>
      <w:r w:rsidR="00914836" w:rsidRPr="00DC34BB">
        <w:t>subsection</w:t>
      </w:r>
      <w:r w:rsidR="00282D02" w:rsidRPr="00DC34BB">
        <w:t>s</w:t>
      </w:r>
      <w:r w:rsidR="00914836" w:rsidRPr="00DC34BB">
        <w:t xml:space="preserve"> </w:t>
      </w:r>
      <w:r w:rsidR="00282D02" w:rsidRPr="00DC34BB">
        <w:t xml:space="preserve">27(1) of the </w:t>
      </w:r>
      <w:r w:rsidR="00282D02" w:rsidRPr="00DC34BB">
        <w:rPr>
          <w:i/>
          <w:iCs/>
        </w:rPr>
        <w:t>Waters Act</w:t>
      </w:r>
      <w:r w:rsidR="00282D02" w:rsidRPr="00DC34BB">
        <w:t xml:space="preserve"> and </w:t>
      </w:r>
      <w:r w:rsidR="00914836" w:rsidRPr="00DC34BB">
        <w:t>72.04(1) of the MVRMA</w:t>
      </w:r>
      <w:r w:rsidR="00282D02" w:rsidRPr="00DC34BB">
        <w:t xml:space="preserve">, the </w:t>
      </w:r>
      <w:r w:rsidR="002154B5" w:rsidRPr="00DC34BB">
        <w:t xml:space="preserve">LWBs have the authority to </w:t>
      </w:r>
      <w:r w:rsidR="00CF0647" w:rsidRPr="00DC34BB">
        <w:t xml:space="preserve">set </w:t>
      </w:r>
      <w:r w:rsidR="001279C2" w:rsidRPr="00DC34BB">
        <w:t xml:space="preserve">any </w:t>
      </w:r>
      <w:r w:rsidR="001941A9" w:rsidRPr="00DC34BB">
        <w:t xml:space="preserve">licence </w:t>
      </w:r>
      <w:r w:rsidR="00CF0647" w:rsidRPr="00DC34BB">
        <w:t>conditions</w:t>
      </w:r>
      <w:r w:rsidR="00310D35" w:rsidRPr="00DC34BB">
        <w:t xml:space="preserve"> considered appropriate</w:t>
      </w:r>
      <w:r w:rsidR="00BA6A72" w:rsidRPr="00DC34BB">
        <w:t xml:space="preserve"> for a project</w:t>
      </w:r>
      <w:r w:rsidR="001279C2" w:rsidRPr="00DC34BB">
        <w:t xml:space="preserve">, including conditions </w:t>
      </w:r>
      <w:r w:rsidR="00CF0647" w:rsidRPr="00DC34BB">
        <w:t>regarding</w:t>
      </w:r>
      <w:r w:rsidR="008C181A" w:rsidRPr="00DC34BB">
        <w:t xml:space="preserve"> the </w:t>
      </w:r>
      <w:r w:rsidR="0033638D" w:rsidRPr="00DC34BB">
        <w:t>deposit of waste to water</w:t>
      </w:r>
      <w:r w:rsidR="00F07A87" w:rsidRPr="00DC34BB">
        <w:t xml:space="preserve">. </w:t>
      </w:r>
      <w:commentRangeEnd w:id="22"/>
      <w:r w:rsidR="00951BC4" w:rsidRPr="00DC34BB">
        <w:rPr>
          <w:rStyle w:val="CommentReference"/>
        </w:rPr>
        <w:commentReference w:id="22"/>
      </w:r>
    </w:p>
    <w:p w14:paraId="6CBF5081" w14:textId="01D5AAD1" w:rsidR="00753AB9" w:rsidRPr="00DC34BB" w:rsidRDefault="009A5230" w:rsidP="00753AB9">
      <w:r w:rsidRPr="00DC34BB">
        <w:t>Additionally, t</w:t>
      </w:r>
      <w:r w:rsidR="00753AB9" w:rsidRPr="00DC34BB">
        <w:t xml:space="preserve">he authority to set limits </w:t>
      </w:r>
      <w:r w:rsidR="004C1F66" w:rsidRPr="00DC34BB">
        <w:t xml:space="preserve">in a licence </w:t>
      </w:r>
      <w:r w:rsidR="00753AB9" w:rsidRPr="00DC34BB">
        <w:t xml:space="preserve">on the amount </w:t>
      </w:r>
      <w:r w:rsidR="001B202D" w:rsidRPr="00DC34BB">
        <w:t xml:space="preserve">and concentration </w:t>
      </w:r>
      <w:r w:rsidR="00753AB9" w:rsidRPr="00DC34BB">
        <w:t xml:space="preserve">of waste discharged from a project is given to the </w:t>
      </w:r>
      <w:r w:rsidR="005B230A" w:rsidRPr="00DC34BB">
        <w:t xml:space="preserve">LWBs </w:t>
      </w:r>
      <w:r w:rsidR="00753AB9" w:rsidRPr="00DC34BB">
        <w:t xml:space="preserve">under paragraph </w:t>
      </w:r>
      <w:r w:rsidR="0059662B" w:rsidRPr="00DC34BB">
        <w:t>26</w:t>
      </w:r>
      <w:r w:rsidR="00753AB9" w:rsidRPr="00DC34BB">
        <w:t>(</w:t>
      </w:r>
      <w:r w:rsidR="0059662B" w:rsidRPr="00DC34BB">
        <w:t>5</w:t>
      </w:r>
      <w:r w:rsidR="00753AB9" w:rsidRPr="00DC34BB">
        <w:t xml:space="preserve">)(c) of the </w:t>
      </w:r>
      <w:r w:rsidR="00753AB9" w:rsidRPr="00DC34BB">
        <w:rPr>
          <w:i/>
          <w:iCs/>
        </w:rPr>
        <w:t>Waters Act</w:t>
      </w:r>
      <w:r w:rsidR="00531FCC" w:rsidRPr="00DC34BB">
        <w:t xml:space="preserve"> and </w:t>
      </w:r>
      <w:r w:rsidR="004559A0" w:rsidRPr="00DC34BB">
        <w:t>paragraph</w:t>
      </w:r>
      <w:r w:rsidR="00976B30" w:rsidRPr="00DC34BB">
        <w:t xml:space="preserve"> </w:t>
      </w:r>
      <w:r w:rsidR="00531FCC" w:rsidRPr="00DC34BB">
        <w:t>72.03(5)(c) of the MVRMA</w:t>
      </w:r>
      <w:r w:rsidR="00753AB9" w:rsidRPr="00DC34BB">
        <w:t>, which state that any waste produced by an undertaking “will be treated and disposed of in a manner that is appropriate for the maintenance of:</w:t>
      </w:r>
    </w:p>
    <w:p w14:paraId="0E11C435" w14:textId="70F7F4E8" w:rsidR="00753AB9" w:rsidRPr="00DC34BB" w:rsidRDefault="00753AB9" w:rsidP="00F7194A">
      <w:pPr>
        <w:pStyle w:val="ListParagraph"/>
        <w:numPr>
          <w:ilvl w:val="0"/>
          <w:numId w:val="26"/>
        </w:numPr>
      </w:pPr>
      <w:r w:rsidRPr="00DC34BB">
        <w:t xml:space="preserve">water quality standards prescribed by regulations made under paragraph </w:t>
      </w:r>
      <w:r w:rsidR="0059662B" w:rsidRPr="00DC34BB">
        <w:t>6</w:t>
      </w:r>
      <w:r w:rsidRPr="00DC34BB">
        <w:t>3</w:t>
      </w:r>
      <w:r w:rsidR="0059662B" w:rsidRPr="00DC34BB">
        <w:t>/90.3</w:t>
      </w:r>
      <w:r w:rsidRPr="00DC34BB">
        <w:t>(1)(h) or, in the absence of such regulations, such</w:t>
      </w:r>
      <w:r w:rsidR="00747434" w:rsidRPr="00DC34BB">
        <w:t xml:space="preserve"> </w:t>
      </w:r>
      <w:r w:rsidRPr="00DC34BB">
        <w:t>water quality standards as the Board considers acceptable, and</w:t>
      </w:r>
    </w:p>
    <w:p w14:paraId="5AA0E924" w14:textId="2033060F" w:rsidR="00753AB9" w:rsidRPr="00DC34BB" w:rsidRDefault="00753AB9" w:rsidP="00F7194A">
      <w:pPr>
        <w:pStyle w:val="ListParagraph"/>
        <w:numPr>
          <w:ilvl w:val="0"/>
          <w:numId w:val="26"/>
        </w:numPr>
      </w:pPr>
      <w:r w:rsidRPr="00DC34BB">
        <w:t xml:space="preserve">effluent standards prescribed by regulations made under paragraph </w:t>
      </w:r>
      <w:r w:rsidR="0059662B" w:rsidRPr="00DC34BB">
        <w:t>6</w:t>
      </w:r>
      <w:r w:rsidRPr="00DC34BB">
        <w:t>3</w:t>
      </w:r>
      <w:r w:rsidR="0059662B" w:rsidRPr="00DC34BB">
        <w:t>/90.3</w:t>
      </w:r>
      <w:r w:rsidRPr="00DC34BB">
        <w:t>(1)(i) or, in the absence of such regulations, such effluent standards as the Board considers acceptable.”</w:t>
      </w:r>
    </w:p>
    <w:p w14:paraId="7F810273" w14:textId="002A0E85" w:rsidR="00F47919" w:rsidRPr="00DC34BB" w:rsidRDefault="00AA5DFC" w:rsidP="00753AB9">
      <w:r w:rsidRPr="00DC34BB">
        <w:t xml:space="preserve">At the time this </w:t>
      </w:r>
      <w:r w:rsidR="00721265" w:rsidRPr="00DC34BB">
        <w:t xml:space="preserve">version of the </w:t>
      </w:r>
      <w:r w:rsidRPr="00DC34BB">
        <w:t>Policy was issued, n</w:t>
      </w:r>
      <w:r w:rsidR="00753AB9" w:rsidRPr="00DC34BB">
        <w:t>o regulations for water quality or effluent standards ha</w:t>
      </w:r>
      <w:r w:rsidRPr="00DC34BB">
        <w:t>d</w:t>
      </w:r>
      <w:r w:rsidR="00753AB9" w:rsidRPr="00DC34BB">
        <w:t xml:space="preserve"> been prescribed </w:t>
      </w:r>
      <w:r w:rsidR="0059662B" w:rsidRPr="00DC34BB">
        <w:t xml:space="preserve">under the </w:t>
      </w:r>
      <w:r w:rsidR="00753AB9" w:rsidRPr="00DC34BB">
        <w:rPr>
          <w:i/>
          <w:iCs/>
        </w:rPr>
        <w:t>Waters Act</w:t>
      </w:r>
      <w:r w:rsidR="0059662B" w:rsidRPr="00DC34BB">
        <w:t xml:space="preserve"> or the MVRMA</w:t>
      </w:r>
      <w:r w:rsidR="00753AB9" w:rsidRPr="00DC34BB">
        <w:t xml:space="preserve">. </w:t>
      </w:r>
    </w:p>
    <w:p w14:paraId="5308DB2C" w14:textId="49F2340D" w:rsidR="00753AB9" w:rsidRPr="00DC34BB" w:rsidRDefault="00F47919" w:rsidP="00753AB9">
      <w:r w:rsidRPr="00DC34BB">
        <w:t>Th</w:t>
      </w:r>
      <w:r w:rsidR="00886F0A" w:rsidRPr="00DC34BB">
        <w:t xml:space="preserve">e purpose </w:t>
      </w:r>
      <w:r w:rsidR="00B53370" w:rsidRPr="00DC34BB">
        <w:t xml:space="preserve">of </w:t>
      </w:r>
      <w:r w:rsidR="00F91B76" w:rsidRPr="00DC34BB">
        <w:t xml:space="preserve">the </w:t>
      </w:r>
      <w:r w:rsidR="00B53370" w:rsidRPr="00DC34BB">
        <w:t xml:space="preserve">Policy (as per </w:t>
      </w:r>
      <w:hyperlink w:anchor="_Purpose_of_this" w:history="1">
        <w:r w:rsidR="00B53370" w:rsidRPr="00DC34BB">
          <w:rPr>
            <w:rStyle w:val="Hyperlink"/>
          </w:rPr>
          <w:t>section 1.1</w:t>
        </w:r>
      </w:hyperlink>
      <w:r w:rsidR="00B53370" w:rsidRPr="00DC34BB">
        <w:t>) and the approach</w:t>
      </w:r>
      <w:r w:rsidR="00943072" w:rsidRPr="00DC34BB">
        <w:t>es</w:t>
      </w:r>
      <w:r w:rsidR="00210DDD" w:rsidRPr="00DC34BB">
        <w:t xml:space="preserve"> to </w:t>
      </w:r>
      <w:r w:rsidR="00943072" w:rsidRPr="00DC34BB">
        <w:t>setting waste management conditions</w:t>
      </w:r>
      <w:r w:rsidR="002621EF" w:rsidRPr="00DC34BB">
        <w:t xml:space="preserve"> </w:t>
      </w:r>
      <w:r w:rsidR="004F1B65" w:rsidRPr="00DC34BB">
        <w:t>outlined</w:t>
      </w:r>
      <w:r w:rsidR="00F063D8" w:rsidRPr="00DC34BB">
        <w:t xml:space="preserve"> </w:t>
      </w:r>
      <w:r w:rsidR="00943072" w:rsidRPr="00DC34BB">
        <w:t xml:space="preserve">within </w:t>
      </w:r>
      <w:r w:rsidR="00F063D8" w:rsidRPr="00DC34BB">
        <w:t xml:space="preserve">it </w:t>
      </w:r>
      <w:r w:rsidR="002621EF" w:rsidRPr="00DC34BB">
        <w:t xml:space="preserve">are consistent with the authority </w:t>
      </w:r>
      <w:r w:rsidR="004F1B65" w:rsidRPr="00DC34BB">
        <w:t>described</w:t>
      </w:r>
      <w:r w:rsidR="002621EF" w:rsidRPr="00DC34BB">
        <w:t xml:space="preserve"> above. </w:t>
      </w:r>
    </w:p>
    <w:p w14:paraId="0F8B188B" w14:textId="3B7E2818" w:rsidR="00E32886" w:rsidRPr="00DC34BB" w:rsidRDefault="00E32886" w:rsidP="00C4384F">
      <w:pPr>
        <w:pStyle w:val="Heading2"/>
      </w:pPr>
      <w:bookmarkStart w:id="23" w:name="_Toc89615529"/>
      <w:r w:rsidRPr="00DC34BB">
        <w:t>How this Policy Was Developed</w:t>
      </w:r>
      <w:bookmarkEnd w:id="23"/>
    </w:p>
    <w:p w14:paraId="261AB370" w14:textId="6EE09179" w:rsidR="00753AB9" w:rsidRPr="00DC34BB" w:rsidRDefault="007125A0" w:rsidP="00753AB9">
      <w:r w:rsidRPr="00DC34BB">
        <w:t>Under the authority outlined</w:t>
      </w:r>
      <w:r w:rsidR="005645A1" w:rsidRPr="00DC34BB">
        <w:t xml:space="preserve"> above</w:t>
      </w:r>
      <w:r w:rsidRPr="00DC34BB">
        <w:t xml:space="preserve"> in section </w:t>
      </w:r>
      <w:r w:rsidR="00721265" w:rsidRPr="00DC34BB">
        <w:t>1.2</w:t>
      </w:r>
      <w:r w:rsidRPr="00DC34BB">
        <w:t>, the LWB</w:t>
      </w:r>
      <w:r w:rsidR="005B6382" w:rsidRPr="00DC34BB">
        <w:t>s</w:t>
      </w:r>
      <w:r w:rsidRPr="00DC34BB">
        <w:t xml:space="preserve"> may establish working groups from time to time to address specific policy, technical, or scientific matters related to effluent and water quality </w:t>
      </w:r>
      <w:r w:rsidRPr="00DC34BB">
        <w:lastRenderedPageBreak/>
        <w:t xml:space="preserve">management and the water licensing process, including the development of guidelines. </w:t>
      </w:r>
      <w:r w:rsidR="00753AB9" w:rsidRPr="00DC34BB">
        <w:t xml:space="preserve">This </w:t>
      </w:r>
      <w:r w:rsidR="00D130B7" w:rsidRPr="00DC34BB">
        <w:t xml:space="preserve">Policy </w:t>
      </w:r>
      <w:r w:rsidR="00753AB9" w:rsidRPr="00DC34BB">
        <w:t xml:space="preserve">was </w:t>
      </w:r>
      <w:r w:rsidR="001D59C1" w:rsidRPr="00DC34BB">
        <w:t xml:space="preserve">originally </w:t>
      </w:r>
      <w:r w:rsidR="00753AB9" w:rsidRPr="00DC34BB">
        <w:t xml:space="preserve">developed </w:t>
      </w:r>
      <w:r w:rsidR="001D59C1" w:rsidRPr="00DC34BB">
        <w:t xml:space="preserve">as the </w:t>
      </w:r>
      <w:r w:rsidR="001D59C1" w:rsidRPr="00DC34BB">
        <w:rPr>
          <w:i/>
          <w:iCs/>
        </w:rPr>
        <w:t>Water and Effluent Quality Management Policy</w:t>
      </w:r>
      <w:r w:rsidR="00753AB9" w:rsidRPr="00DC34BB">
        <w:t xml:space="preserve"> by the Water/Effluent Quality Guidelines Working Group, one of the Standard Procedures and Consistency Working Groups established by the </w:t>
      </w:r>
      <w:r w:rsidR="0053757B" w:rsidRPr="00DC34BB">
        <w:t xml:space="preserve">LWBs </w:t>
      </w:r>
      <w:r w:rsidR="00753AB9" w:rsidRPr="00DC34BB">
        <w:t>in 2008</w:t>
      </w:r>
      <w:r w:rsidR="005A4A74" w:rsidRPr="00DC34BB">
        <w:t xml:space="preserve">. The Policy </w:t>
      </w:r>
      <w:r w:rsidR="0059662B" w:rsidRPr="00DC34BB">
        <w:t xml:space="preserve">was updated </w:t>
      </w:r>
      <w:r w:rsidR="00150E84" w:rsidRPr="00DC34BB">
        <w:t xml:space="preserve">as the </w:t>
      </w:r>
      <w:r w:rsidR="00150E84" w:rsidRPr="00DC34BB">
        <w:rPr>
          <w:i/>
          <w:iCs/>
        </w:rPr>
        <w:t>Waste Management Policy</w:t>
      </w:r>
      <w:r w:rsidR="00150E84" w:rsidRPr="00DC34BB">
        <w:t xml:space="preserve"> </w:t>
      </w:r>
      <w:r w:rsidR="0059662B" w:rsidRPr="00DC34BB">
        <w:t>in 202</w:t>
      </w:r>
      <w:r w:rsidR="00BB48D6" w:rsidRPr="00DC34BB">
        <w:t>2</w:t>
      </w:r>
      <w:r w:rsidR="00A43C4D" w:rsidRPr="00DC34BB">
        <w:t xml:space="preserve"> </w:t>
      </w:r>
      <w:r w:rsidR="005A4A74" w:rsidRPr="00DC34BB">
        <w:t xml:space="preserve">under the </w:t>
      </w:r>
      <w:r w:rsidR="0053757B" w:rsidRPr="00DC34BB">
        <w:t>LWBs</w:t>
      </w:r>
      <w:r w:rsidR="0059662B" w:rsidRPr="00DC34BB">
        <w:t xml:space="preserve">’ Areas of Operations </w:t>
      </w:r>
      <w:r w:rsidR="005A4A74" w:rsidRPr="00DC34BB">
        <w:t>Initiative</w:t>
      </w:r>
      <w:r w:rsidR="00AA5DFC" w:rsidRPr="00DC34BB">
        <w:t>.</w:t>
      </w:r>
    </w:p>
    <w:p w14:paraId="448FD612" w14:textId="20ED149D" w:rsidR="00FE0682" w:rsidRPr="00DC34BB" w:rsidRDefault="00753AB9" w:rsidP="00753AB9">
      <w:r w:rsidRPr="00DC34BB">
        <w:t xml:space="preserve">This Policy is based on input from </w:t>
      </w:r>
      <w:r w:rsidR="00222FF8" w:rsidRPr="00DC34BB">
        <w:t xml:space="preserve">LWB </w:t>
      </w:r>
      <w:r w:rsidRPr="00DC34BB">
        <w:t>staff</w:t>
      </w:r>
      <w:r w:rsidR="00F7194A" w:rsidRPr="00DC34BB">
        <w:t xml:space="preserve"> and</w:t>
      </w:r>
      <w:r w:rsidRPr="00DC34BB">
        <w:t xml:space="preserve"> consultants,</w:t>
      </w:r>
      <w:r w:rsidR="00F7194A" w:rsidRPr="00DC34BB">
        <w:t xml:space="preserve"> </w:t>
      </w:r>
      <w:commentRangeStart w:id="24"/>
      <w:r w:rsidR="00F7194A" w:rsidRPr="00DC34BB">
        <w:t>public review comments</w:t>
      </w:r>
      <w:commentRangeEnd w:id="24"/>
      <w:r w:rsidR="00F7194A" w:rsidRPr="00DC34BB">
        <w:rPr>
          <w:rStyle w:val="CommentReference"/>
        </w:rPr>
        <w:commentReference w:id="24"/>
      </w:r>
      <w:r w:rsidR="00F7194A" w:rsidRPr="00DC34BB">
        <w:t>,</w:t>
      </w:r>
      <w:r w:rsidRPr="00DC34BB">
        <w:t xml:space="preserve"> </w:t>
      </w:r>
      <w:r w:rsidR="00340265" w:rsidRPr="00DC34BB">
        <w:t xml:space="preserve">and </w:t>
      </w:r>
      <w:r w:rsidR="00DC1E2E" w:rsidRPr="00DC34BB">
        <w:t xml:space="preserve">other </w:t>
      </w:r>
      <w:r w:rsidR="00E83BB0" w:rsidRPr="00DC34BB">
        <w:t xml:space="preserve">LWB </w:t>
      </w:r>
      <w:r w:rsidR="00DC1E2E" w:rsidRPr="00DC34BB">
        <w:t>policies, standards, and guidelines,</w:t>
      </w:r>
      <w:r w:rsidR="00340265" w:rsidRPr="00DC34BB">
        <w:t xml:space="preserve"> </w:t>
      </w:r>
      <w:r w:rsidRPr="00DC34BB">
        <w:t xml:space="preserve">and is consistent with past and present practices of the </w:t>
      </w:r>
      <w:r w:rsidR="00E83BB0" w:rsidRPr="00DC34BB">
        <w:t>LWBs</w:t>
      </w:r>
      <w:r w:rsidRPr="00DC34BB">
        <w:t>.</w:t>
      </w:r>
      <w:r w:rsidR="005A4A74" w:rsidRPr="00DC34BB">
        <w:t xml:space="preserve"> </w:t>
      </w:r>
      <w:commentRangeStart w:id="25"/>
      <w:r w:rsidR="00FE0682" w:rsidRPr="00DC34BB">
        <w:t xml:space="preserve">Although the scope of this Policy does not include managing water use, </w:t>
      </w:r>
      <w:r w:rsidR="00931E99" w:rsidRPr="00DC34BB">
        <w:t>the LWBs</w:t>
      </w:r>
      <w:r w:rsidR="00FE0682" w:rsidRPr="00DC34BB">
        <w:t xml:space="preserve"> recognize the relationship between waste management and water quality in the receiving environment, and the social, cultural, and economic importance of water to the people of the NWT. </w:t>
      </w:r>
      <w:r w:rsidR="00807262" w:rsidRPr="00DC34BB">
        <w:t>Accordingly, i</w:t>
      </w:r>
      <w:r w:rsidR="00FE0682" w:rsidRPr="00DC34BB">
        <w:t xml:space="preserve">n developing this Policy, the </w:t>
      </w:r>
      <w:r w:rsidR="00E83BB0" w:rsidRPr="00DC34BB">
        <w:t>LWBs</w:t>
      </w:r>
      <w:r w:rsidR="00FE0682" w:rsidRPr="00DC34BB">
        <w:t xml:space="preserve"> considered the vision, guiding principles, and goals set out in the </w:t>
      </w:r>
      <w:r w:rsidR="00FE0682" w:rsidRPr="00DC34BB">
        <w:rPr>
          <w:i/>
        </w:rPr>
        <w:t>NWT Water Stewardship Strategy</w:t>
      </w:r>
      <w:r w:rsidR="00FE0682" w:rsidRPr="00DC34BB">
        <w:t>.</w:t>
      </w:r>
      <w:r w:rsidR="00FE0682" w:rsidRPr="00DC34BB">
        <w:rPr>
          <w:rStyle w:val="FootnoteReference"/>
        </w:rPr>
        <w:footnoteReference w:id="8"/>
      </w:r>
      <w:r w:rsidR="00FE0682" w:rsidRPr="00DC34BB">
        <w:t xml:space="preserve">  </w:t>
      </w:r>
      <w:commentRangeEnd w:id="25"/>
      <w:r w:rsidR="00D844D0" w:rsidRPr="00DC34BB">
        <w:rPr>
          <w:rStyle w:val="CommentReference"/>
        </w:rPr>
        <w:commentReference w:id="25"/>
      </w:r>
    </w:p>
    <w:p w14:paraId="71D4E893" w14:textId="31008ECD" w:rsidR="00753AB9" w:rsidRPr="00DC34BB" w:rsidRDefault="00DC1E2E" w:rsidP="00753AB9">
      <w:r w:rsidRPr="00DC34BB">
        <w:t>The Policy has been in effect since March 31, 2011</w:t>
      </w:r>
      <w:r w:rsidR="002B4B0E" w:rsidRPr="00DC34BB">
        <w:t xml:space="preserve"> and was updated on X, 202</w:t>
      </w:r>
      <w:r w:rsidR="007F055C" w:rsidRPr="00DC34BB">
        <w:t>2</w:t>
      </w:r>
      <w:r w:rsidRPr="00DC34BB">
        <w:t>.</w:t>
      </w:r>
    </w:p>
    <w:p w14:paraId="66DAC07E" w14:textId="17ECDDE4" w:rsidR="00E32886" w:rsidRPr="00DC34BB" w:rsidRDefault="00E32886" w:rsidP="00C4384F">
      <w:pPr>
        <w:pStyle w:val="Heading2"/>
      </w:pPr>
      <w:bookmarkStart w:id="26" w:name="_Toc89615530"/>
      <w:r w:rsidRPr="00DC34BB">
        <w:t>Application of this Policy</w:t>
      </w:r>
      <w:bookmarkEnd w:id="26"/>
    </w:p>
    <w:p w14:paraId="364CD5EA" w14:textId="49894669" w:rsidR="00F02E59" w:rsidRPr="00DC34BB" w:rsidRDefault="00F02E59" w:rsidP="00F02E59">
      <w:r w:rsidRPr="00DC34BB">
        <w:t xml:space="preserve">This Policy will be applied by all the </w:t>
      </w:r>
      <w:r w:rsidR="007F641C" w:rsidRPr="00DC34BB">
        <w:t>LWBs</w:t>
      </w:r>
      <w:r w:rsidRPr="00DC34BB">
        <w:t xml:space="preserve"> operating under the MVRMA including the:</w:t>
      </w:r>
    </w:p>
    <w:p w14:paraId="601927AA" w14:textId="2A40AA75" w:rsidR="00F02E59" w:rsidRPr="00DC34BB" w:rsidRDefault="00F02E59" w:rsidP="00747434">
      <w:pPr>
        <w:pStyle w:val="ListParagraph"/>
        <w:numPr>
          <w:ilvl w:val="0"/>
          <w:numId w:val="16"/>
        </w:numPr>
      </w:pPr>
      <w:r w:rsidRPr="00DC34BB">
        <w:t>Mackenzie Valley Land and Water Board</w:t>
      </w:r>
    </w:p>
    <w:p w14:paraId="49C3C489" w14:textId="6B683538" w:rsidR="00F02E59" w:rsidRPr="00DC34BB" w:rsidRDefault="00F02E59" w:rsidP="00747434">
      <w:pPr>
        <w:pStyle w:val="ListParagraph"/>
        <w:numPr>
          <w:ilvl w:val="0"/>
          <w:numId w:val="16"/>
        </w:numPr>
      </w:pPr>
      <w:r w:rsidRPr="00DC34BB">
        <w:t>Gwich’in Land and Water Board</w:t>
      </w:r>
    </w:p>
    <w:p w14:paraId="17FC7FE4" w14:textId="3C3BBA22" w:rsidR="00F02E59" w:rsidRPr="00DC34BB" w:rsidRDefault="00F02E59" w:rsidP="00747434">
      <w:pPr>
        <w:pStyle w:val="ListParagraph"/>
        <w:numPr>
          <w:ilvl w:val="0"/>
          <w:numId w:val="16"/>
        </w:numPr>
      </w:pPr>
      <w:r w:rsidRPr="00DC34BB">
        <w:t>Sahtu Land and Water Board</w:t>
      </w:r>
    </w:p>
    <w:p w14:paraId="727183D9" w14:textId="78FB51FF" w:rsidR="00F02E59" w:rsidRPr="00DC34BB" w:rsidRDefault="00F02E59" w:rsidP="00747434">
      <w:pPr>
        <w:pStyle w:val="ListParagraph"/>
        <w:numPr>
          <w:ilvl w:val="0"/>
          <w:numId w:val="16"/>
        </w:numPr>
      </w:pPr>
      <w:r w:rsidRPr="00DC34BB">
        <w:t>Wek’èezhìi Land and Water Board</w:t>
      </w:r>
    </w:p>
    <w:p w14:paraId="07DC0629" w14:textId="3A81ECD9" w:rsidR="00F02E59" w:rsidRPr="00DC34BB" w:rsidRDefault="00F02E59" w:rsidP="00F02E59">
      <w:r w:rsidRPr="00DC34BB">
        <w:t>This Policy applies to all projects that require a water licence</w:t>
      </w:r>
      <w:r w:rsidR="00982A72" w:rsidRPr="00DC34BB">
        <w:t xml:space="preserve"> and/or a land use permit</w:t>
      </w:r>
      <w:r w:rsidRPr="00DC34BB">
        <w:t>. Specifically, this Policy applies to water licence</w:t>
      </w:r>
      <w:r w:rsidR="00DC1E2E" w:rsidRPr="00DC34BB">
        <w:t xml:space="preserve"> </w:t>
      </w:r>
      <w:r w:rsidR="00982A72" w:rsidRPr="00DC34BB">
        <w:t xml:space="preserve">and land use permit </w:t>
      </w:r>
      <w:r w:rsidR="00DC1E2E" w:rsidRPr="00DC34BB">
        <w:t>conditions</w:t>
      </w:r>
      <w:r w:rsidRPr="00DC34BB">
        <w:t xml:space="preserve"> set by the </w:t>
      </w:r>
      <w:r w:rsidR="00982A72" w:rsidRPr="00DC34BB">
        <w:t xml:space="preserve">LWBs </w:t>
      </w:r>
      <w:r w:rsidRPr="00DC34BB">
        <w:t xml:space="preserve">to manage the </w:t>
      </w:r>
      <w:r w:rsidR="00E4723F" w:rsidRPr="00DC34BB">
        <w:t xml:space="preserve">discharge or </w:t>
      </w:r>
      <w:r w:rsidRPr="00DC34BB">
        <w:t>deposit of waste to the receiving environment.</w:t>
      </w:r>
      <w:r w:rsidR="0022703C" w:rsidRPr="00DC34BB">
        <w:t xml:space="preserve"> </w:t>
      </w:r>
    </w:p>
    <w:p w14:paraId="51C24CBD" w14:textId="004418E0" w:rsidR="00F02E59" w:rsidRPr="00DC34BB" w:rsidRDefault="00F02E59" w:rsidP="00F02E59">
      <w:r w:rsidRPr="00DC34BB">
        <w:t xml:space="preserve">This Policy outlines the </w:t>
      </w:r>
      <w:commentRangeStart w:id="27"/>
      <w:r w:rsidR="00CD4C9A" w:rsidRPr="00DC34BB">
        <w:t xml:space="preserve">types of requirements that the </w:t>
      </w:r>
      <w:r w:rsidR="00982A72" w:rsidRPr="00DC34BB">
        <w:t>LWBs</w:t>
      </w:r>
      <w:r w:rsidR="00CD4C9A" w:rsidRPr="00DC34BB">
        <w:t xml:space="preserve"> typically </w:t>
      </w:r>
      <w:r w:rsidR="00A43C4D" w:rsidRPr="00DC34BB">
        <w:t>include</w:t>
      </w:r>
      <w:r w:rsidR="00CD4C9A" w:rsidRPr="00DC34BB">
        <w:t xml:space="preserve"> in licence </w:t>
      </w:r>
      <w:r w:rsidR="00982A72" w:rsidRPr="00DC34BB">
        <w:t xml:space="preserve">and permit </w:t>
      </w:r>
      <w:r w:rsidR="00CD4C9A" w:rsidRPr="00DC34BB">
        <w:t xml:space="preserve">conditions to regulate the </w:t>
      </w:r>
      <w:r w:rsidR="00E4723F" w:rsidRPr="00DC34BB">
        <w:t>discharge</w:t>
      </w:r>
      <w:r w:rsidR="00CD4C9A" w:rsidRPr="00DC34BB">
        <w:t xml:space="preserve"> of waste, and the </w:t>
      </w:r>
      <w:commentRangeEnd w:id="27"/>
      <w:r w:rsidR="00CD4C9A" w:rsidRPr="00DC34BB">
        <w:rPr>
          <w:rStyle w:val="CommentReference"/>
        </w:rPr>
        <w:commentReference w:id="27"/>
      </w:r>
      <w:r w:rsidRPr="00DC34BB">
        <w:t>types of information that a</w:t>
      </w:r>
      <w:r w:rsidR="00982A72" w:rsidRPr="00DC34BB">
        <w:t xml:space="preserve">n </w:t>
      </w:r>
      <w:r w:rsidR="00DC1E2E" w:rsidRPr="00DC34BB">
        <w:t xml:space="preserve">applicant </w:t>
      </w:r>
      <w:r w:rsidRPr="00DC34BB">
        <w:t xml:space="preserve">must submit to a Board as part of the process of setting </w:t>
      </w:r>
      <w:r w:rsidR="00CD4C9A" w:rsidRPr="00DC34BB">
        <w:t xml:space="preserve">these </w:t>
      </w:r>
      <w:r w:rsidR="00A0603F" w:rsidRPr="00DC34BB">
        <w:t xml:space="preserve">conditions. </w:t>
      </w:r>
      <w:r w:rsidRPr="00DC34BB">
        <w:t>Although the same types of information will be required from each</w:t>
      </w:r>
      <w:r w:rsidR="00DC1E2E" w:rsidRPr="00DC34BB">
        <w:t xml:space="preserve"> applicant</w:t>
      </w:r>
      <w:r w:rsidRPr="00DC34BB">
        <w:t>, the amount of detail required will vary depending on</w:t>
      </w:r>
      <w:r w:rsidR="00DC1E2E" w:rsidRPr="00DC34BB">
        <w:t xml:space="preserve"> </w:t>
      </w:r>
      <w:r w:rsidRPr="00DC34BB">
        <w:t xml:space="preserve">the size, type, stage, and duration of the project under consideration. The appropriate level of information required from the </w:t>
      </w:r>
      <w:r w:rsidR="00DC1E2E" w:rsidRPr="00DC34BB">
        <w:t xml:space="preserve">applicant </w:t>
      </w:r>
      <w:r w:rsidR="00FD2633" w:rsidRPr="00DC34BB">
        <w:t>is</w:t>
      </w:r>
      <w:r w:rsidRPr="00DC34BB">
        <w:t xml:space="preserve"> described in relevant guid</w:t>
      </w:r>
      <w:r w:rsidR="00FD2633" w:rsidRPr="00DC34BB">
        <w:t>ance</w:t>
      </w:r>
      <w:r w:rsidRPr="00DC34BB">
        <w:t xml:space="preserve"> documents (see </w:t>
      </w:r>
      <w:r w:rsidR="001B5663" w:rsidRPr="00DC34BB">
        <w:t>the list in</w:t>
      </w:r>
      <w:r w:rsidRPr="00DC34BB">
        <w:t xml:space="preserve"> </w:t>
      </w:r>
      <w:hyperlink w:anchor="_Purpose_of_this" w:history="1">
        <w:r w:rsidR="00DC22BA" w:rsidRPr="00DC34BB">
          <w:rPr>
            <w:rStyle w:val="Hyperlink"/>
          </w:rPr>
          <w:t>section 1.1</w:t>
        </w:r>
      </w:hyperlink>
      <w:r w:rsidRPr="00DC34BB">
        <w:t>).</w:t>
      </w:r>
      <w:r w:rsidR="004A250E" w:rsidRPr="00DC34BB">
        <w:t xml:space="preserve"> In all cases, the LWBs will set the conditions based on the evidence presented during the </w:t>
      </w:r>
      <w:commentRangeStart w:id="28"/>
      <w:r w:rsidR="004A250E" w:rsidRPr="00DC34BB">
        <w:t xml:space="preserve">regulatory </w:t>
      </w:r>
      <w:commentRangeEnd w:id="28"/>
      <w:r w:rsidR="004A250E" w:rsidRPr="00DC34BB">
        <w:rPr>
          <w:rStyle w:val="CommentReference"/>
        </w:rPr>
        <w:commentReference w:id="28"/>
      </w:r>
      <w:r w:rsidR="004A250E" w:rsidRPr="00DC34BB">
        <w:t>process</w:t>
      </w:r>
      <w:r w:rsidR="00EF318B" w:rsidRPr="00DC34BB">
        <w:t xml:space="preserve"> for the application</w:t>
      </w:r>
      <w:r w:rsidR="004A250E" w:rsidRPr="00DC34BB">
        <w:t>.</w:t>
      </w:r>
    </w:p>
    <w:p w14:paraId="75094306" w14:textId="3D28737F" w:rsidR="00F02E59" w:rsidRPr="00DC34BB" w:rsidRDefault="00F02E59" w:rsidP="00F02E59">
      <w:r w:rsidRPr="00DC34BB">
        <w:t xml:space="preserve">This Policy will be applied to all new </w:t>
      </w:r>
      <w:r w:rsidR="000646F9" w:rsidRPr="00DC34BB">
        <w:t xml:space="preserve">and </w:t>
      </w:r>
      <w:r w:rsidRPr="00DC34BB">
        <w:t xml:space="preserve">renewal licence </w:t>
      </w:r>
      <w:r w:rsidR="00786BC7" w:rsidRPr="00DC34BB">
        <w:t xml:space="preserve">and permit </w:t>
      </w:r>
      <w:r w:rsidRPr="00DC34BB">
        <w:t xml:space="preserve">applications received after the effective date of the Policy. In the case of existing </w:t>
      </w:r>
      <w:r w:rsidR="008E7A59" w:rsidRPr="00DC34BB">
        <w:t>authorizations</w:t>
      </w:r>
      <w:r w:rsidRPr="00DC34BB">
        <w:t xml:space="preserve">, this Policy may be applied if there is a proposal to amend any conditions of </w:t>
      </w:r>
      <w:r w:rsidR="00931E99" w:rsidRPr="00DC34BB">
        <w:t xml:space="preserve">a </w:t>
      </w:r>
      <w:r w:rsidRPr="00DC34BB">
        <w:t>licence</w:t>
      </w:r>
      <w:r w:rsidR="008E7A59" w:rsidRPr="00DC34BB">
        <w:t xml:space="preserve"> or</w:t>
      </w:r>
      <w:r w:rsidR="00CF6423" w:rsidRPr="00DC34BB">
        <w:t xml:space="preserve"> permit</w:t>
      </w:r>
      <w:r w:rsidRPr="00DC34BB">
        <w:t>.</w:t>
      </w:r>
    </w:p>
    <w:p w14:paraId="0084E35C" w14:textId="77777777" w:rsidR="007125A0" w:rsidRPr="00DC34BB" w:rsidDel="007125A0" w:rsidRDefault="007125A0" w:rsidP="00C4384F">
      <w:pPr>
        <w:pStyle w:val="Heading2"/>
      </w:pPr>
      <w:bookmarkStart w:id="29" w:name="_Toc89615531"/>
      <w:r w:rsidRPr="00DC34BB" w:rsidDel="007125A0">
        <w:lastRenderedPageBreak/>
        <w:t>Measuring Performance and Reviewing the Policy</w:t>
      </w:r>
      <w:bookmarkEnd w:id="29"/>
    </w:p>
    <w:p w14:paraId="18D0842B" w14:textId="01A20BF7" w:rsidR="007E7F36" w:rsidRPr="00DC34BB" w:rsidDel="00721265" w:rsidRDefault="007125A0" w:rsidP="001205C2">
      <w:r w:rsidRPr="00DC34BB" w:rsidDel="007125A0">
        <w:t xml:space="preserve">Mechanisms will be required to monitor and measure performance and to evaluate the effectiveness in achieving the Policy objectives articulated above. In accordance with the principles of a management systems approach (i.e., plan-do-check-act), the </w:t>
      </w:r>
      <w:r w:rsidR="007D536C" w:rsidRPr="00DC34BB">
        <w:t>LWBs</w:t>
      </w:r>
      <w:r w:rsidR="007D536C" w:rsidRPr="00DC34BB" w:rsidDel="007125A0">
        <w:t xml:space="preserve"> </w:t>
      </w:r>
      <w:r w:rsidRPr="00DC34BB" w:rsidDel="007125A0">
        <w:t>will develop a performance measurement framework that specifies reporting requirements against the Policy objectives including indicators, sources of information, and frequency of reporting. This Policy will be reviewed and amended as necessary within that framework. The framework will also describe how</w:t>
      </w:r>
      <w:r w:rsidR="00721265" w:rsidRPr="00DC34BB">
        <w:t xml:space="preserve"> interested parties</w:t>
      </w:r>
      <w:r w:rsidRPr="00DC34BB" w:rsidDel="007125A0">
        <w:t xml:space="preserve"> will be involved in the Policy review process.</w:t>
      </w:r>
    </w:p>
    <w:p w14:paraId="52F8C689" w14:textId="3C8B1ABF" w:rsidR="00E32886" w:rsidRPr="00DC34BB" w:rsidRDefault="00E32886" w:rsidP="00753AB9">
      <w:pPr>
        <w:pStyle w:val="Heading1"/>
      </w:pPr>
      <w:bookmarkStart w:id="30" w:name="_Toc84401197"/>
      <w:bookmarkStart w:id="31" w:name="_Guiding_Principles"/>
      <w:bookmarkStart w:id="32" w:name="_Toc89615532"/>
      <w:bookmarkEnd w:id="30"/>
      <w:bookmarkEnd w:id="31"/>
      <w:r w:rsidRPr="00DC34BB">
        <w:t>Guiding Principles</w:t>
      </w:r>
      <w:bookmarkEnd w:id="32"/>
    </w:p>
    <w:p w14:paraId="110EA327" w14:textId="00C8A38C" w:rsidR="00F02E59" w:rsidRPr="00DC34BB" w:rsidRDefault="00F02E59" w:rsidP="00F02E59">
      <w:r w:rsidRPr="00DC34BB">
        <w:t xml:space="preserve">The following principles have been adopted by the </w:t>
      </w:r>
      <w:r w:rsidR="000E0C0C" w:rsidRPr="00DC34BB">
        <w:t xml:space="preserve">LWBs </w:t>
      </w:r>
      <w:r w:rsidRPr="00DC34BB">
        <w:t xml:space="preserve">and will guide the </w:t>
      </w:r>
      <w:r w:rsidR="000E0C0C" w:rsidRPr="00DC34BB">
        <w:t xml:space="preserve">LWBs’ </w:t>
      </w:r>
      <w:r w:rsidRPr="00DC34BB">
        <w:t xml:space="preserve">decisions on any matter related to the </w:t>
      </w:r>
      <w:r w:rsidR="005704A2" w:rsidRPr="00DC34BB">
        <w:t xml:space="preserve">discharge or </w:t>
      </w:r>
      <w:r w:rsidRPr="00DC34BB">
        <w:t xml:space="preserve">deposit of waste from a project to the receiving environment. </w:t>
      </w:r>
      <w:commentRangeStart w:id="33"/>
      <w:r w:rsidR="007D6539" w:rsidRPr="00DC34BB">
        <w:t xml:space="preserve">The guiding principles of this Policy are consistent with the guiding principles set out in the </w:t>
      </w:r>
      <w:r w:rsidR="007D6539" w:rsidRPr="00DC34BB">
        <w:rPr>
          <w:i/>
          <w:iCs/>
        </w:rPr>
        <w:t>NWT Water Stewardship Strategy</w:t>
      </w:r>
      <w:r w:rsidR="007360B4" w:rsidRPr="00DC34BB">
        <w:t xml:space="preserve"> but also </w:t>
      </w:r>
      <w:r w:rsidR="00533DE9" w:rsidRPr="00DC34BB">
        <w:t>extend to land use</w:t>
      </w:r>
      <w:r w:rsidR="007D6539" w:rsidRPr="00DC34BB">
        <w:t>.</w:t>
      </w:r>
      <w:commentRangeEnd w:id="33"/>
      <w:r w:rsidR="00D844D0" w:rsidRPr="00DC34BB">
        <w:rPr>
          <w:rStyle w:val="CommentReference"/>
        </w:rPr>
        <w:commentReference w:id="33"/>
      </w:r>
      <w:r w:rsidR="007D6539" w:rsidRPr="00DC34BB">
        <w:t xml:space="preserve"> </w:t>
      </w:r>
      <w:r w:rsidRPr="00DC34BB">
        <w:t>The principles are not listed in any order of priority.</w:t>
      </w:r>
    </w:p>
    <w:p w14:paraId="2594E497" w14:textId="5A2F3A52" w:rsidR="00F02E59" w:rsidRPr="00DC34BB" w:rsidRDefault="00F02E59" w:rsidP="00747434">
      <w:pPr>
        <w:pStyle w:val="ListParagraph"/>
        <w:numPr>
          <w:ilvl w:val="0"/>
          <w:numId w:val="13"/>
        </w:numPr>
      </w:pPr>
      <w:r w:rsidRPr="00DC34BB">
        <w:t>Sustainable Development: Meeting the needs of the present without compromising the ability of future generations to meet their own needs</w:t>
      </w:r>
      <w:r w:rsidR="00F35F79" w:rsidRPr="00DC34BB">
        <w:t xml:space="preserve">, </w:t>
      </w:r>
      <w:commentRangeStart w:id="34"/>
      <w:r w:rsidR="00EA04C4" w:rsidRPr="00DC34BB">
        <w:t>taking</w:t>
      </w:r>
      <w:r w:rsidR="00F35F79" w:rsidRPr="00DC34BB">
        <w:t xml:space="preserve"> </w:t>
      </w:r>
      <w:r w:rsidR="006F0798" w:rsidRPr="00DC34BB">
        <w:t xml:space="preserve">both </w:t>
      </w:r>
      <w:r w:rsidR="00EA04C4" w:rsidRPr="00DC34BB">
        <w:t xml:space="preserve">the potential </w:t>
      </w:r>
      <w:r w:rsidR="00402797" w:rsidRPr="00DC34BB">
        <w:t>effects</w:t>
      </w:r>
      <w:r w:rsidR="00EA04C4" w:rsidRPr="00DC34BB">
        <w:t xml:space="preserve"> of </w:t>
      </w:r>
      <w:r w:rsidR="00F35F79" w:rsidRPr="00DC34BB">
        <w:t>climate change</w:t>
      </w:r>
      <w:r w:rsidR="007D7F33" w:rsidRPr="00DC34BB">
        <w:t xml:space="preserve"> and </w:t>
      </w:r>
      <w:r w:rsidR="00402797" w:rsidRPr="00DC34BB">
        <w:t xml:space="preserve">potential </w:t>
      </w:r>
      <w:r w:rsidR="007D7F33" w:rsidRPr="00DC34BB">
        <w:t xml:space="preserve">cumulative </w:t>
      </w:r>
      <w:r w:rsidR="00402797" w:rsidRPr="00DC34BB">
        <w:t>effects</w:t>
      </w:r>
      <w:r w:rsidR="00EA04C4" w:rsidRPr="00DC34BB">
        <w:t xml:space="preserve"> into account</w:t>
      </w:r>
      <w:r w:rsidRPr="00DC34BB">
        <w:t>.</w:t>
      </w:r>
      <w:commentRangeEnd w:id="34"/>
      <w:r w:rsidR="00D844D0" w:rsidRPr="00DC34BB">
        <w:rPr>
          <w:rStyle w:val="CommentReference"/>
        </w:rPr>
        <w:commentReference w:id="34"/>
      </w:r>
    </w:p>
    <w:p w14:paraId="5C12300D" w14:textId="6583F839" w:rsidR="00F02E59" w:rsidRPr="00DC34BB" w:rsidRDefault="00F02E59" w:rsidP="00747434">
      <w:pPr>
        <w:pStyle w:val="ListParagraph"/>
        <w:numPr>
          <w:ilvl w:val="0"/>
          <w:numId w:val="13"/>
        </w:numPr>
      </w:pPr>
      <w:r w:rsidRPr="00DC34BB">
        <w:t>Pollution Prevention: The use of processes, practices, materials, products, or energy that avoid or minimize the creation of pollutants and waste</w:t>
      </w:r>
      <w:r w:rsidR="00EB0852" w:rsidRPr="00DC34BB">
        <w:t>,</w:t>
      </w:r>
      <w:r w:rsidRPr="00DC34BB">
        <w:t xml:space="preserve"> and reduce </w:t>
      </w:r>
      <w:r w:rsidR="00EB0852" w:rsidRPr="00DC34BB">
        <w:t xml:space="preserve">the </w:t>
      </w:r>
      <w:r w:rsidRPr="00DC34BB">
        <w:t>overall risk to human health and the environment.</w:t>
      </w:r>
    </w:p>
    <w:p w14:paraId="40CA403C" w14:textId="08C9845F" w:rsidR="00F02E59" w:rsidRPr="00DC34BB" w:rsidRDefault="00F02E59" w:rsidP="00747434">
      <w:pPr>
        <w:pStyle w:val="ListParagraph"/>
        <w:numPr>
          <w:ilvl w:val="0"/>
          <w:numId w:val="13"/>
        </w:numPr>
      </w:pPr>
      <w:r w:rsidRPr="00DC34BB">
        <w:t xml:space="preserve">Precaution: Where there are threats of serious or irreversible damage, the lack of full </w:t>
      </w:r>
      <w:commentRangeStart w:id="35"/>
      <w:del w:id="36" w:author="Lindsey Cymbalisty" w:date="2021-04-15T09:22:00Z">
        <w:r w:rsidRPr="00DC34BB" w:rsidDel="00D81DDE">
          <w:delText xml:space="preserve">scientific </w:delText>
        </w:r>
      </w:del>
      <w:commentRangeEnd w:id="35"/>
      <w:r w:rsidR="00D81DDE" w:rsidRPr="00DC34BB">
        <w:rPr>
          <w:rStyle w:val="CommentReference"/>
        </w:rPr>
        <w:commentReference w:id="35"/>
      </w:r>
      <w:r w:rsidRPr="00DC34BB">
        <w:t>certainty should not be used as a reason for postponing cost</w:t>
      </w:r>
      <w:r w:rsidR="00FD2633" w:rsidRPr="00DC34BB">
        <w:t>-</w:t>
      </w:r>
      <w:r w:rsidRPr="00DC34BB">
        <w:t>effective measures to prevent environmental degradation.</w:t>
      </w:r>
    </w:p>
    <w:p w14:paraId="2A0F0BA6" w14:textId="7D97493C" w:rsidR="00F02E59" w:rsidRPr="00DC34BB" w:rsidRDefault="00F02E59" w:rsidP="00747434">
      <w:pPr>
        <w:pStyle w:val="ListParagraph"/>
        <w:numPr>
          <w:ilvl w:val="0"/>
          <w:numId w:val="13"/>
        </w:numPr>
      </w:pPr>
      <w:r w:rsidRPr="00DC34BB">
        <w:t>Polluter Pays: The polluting party should pay for the restoration of damage done to the natural and built environments.</w:t>
      </w:r>
    </w:p>
    <w:p w14:paraId="6886BB7F" w14:textId="4270EB6C" w:rsidR="00CF0DBE" w:rsidRPr="00DC34BB" w:rsidRDefault="00F02E59" w:rsidP="00CF0DBE">
      <w:pPr>
        <w:pStyle w:val="ListParagraph"/>
        <w:numPr>
          <w:ilvl w:val="0"/>
          <w:numId w:val="13"/>
        </w:numPr>
      </w:pPr>
      <w:r w:rsidRPr="00DC34BB">
        <w:t xml:space="preserve">Integrated Watershed Management: The cooperative and coordinated stewardship of shared </w:t>
      </w:r>
      <w:r w:rsidR="0005282B" w:rsidRPr="00DC34BB">
        <w:t xml:space="preserve">land and </w:t>
      </w:r>
      <w:r w:rsidRPr="00DC34BB">
        <w:t xml:space="preserve">water resources where decisions are made in a watershed </w:t>
      </w:r>
      <w:commentRangeStart w:id="37"/>
      <w:r w:rsidR="00237C74" w:rsidRPr="00DC34BB">
        <w:t xml:space="preserve">and regional </w:t>
      </w:r>
      <w:commentRangeEnd w:id="37"/>
      <w:r w:rsidR="00DD72E9" w:rsidRPr="00DC34BB">
        <w:rPr>
          <w:rStyle w:val="CommentReference"/>
        </w:rPr>
        <w:commentReference w:id="37"/>
      </w:r>
      <w:r w:rsidRPr="00DC34BB">
        <w:t>context and for the greatest collective benefit for all Canadians and</w:t>
      </w:r>
      <w:r w:rsidR="000D7EEB" w:rsidRPr="00DC34BB">
        <w:t>,</w:t>
      </w:r>
      <w:r w:rsidRPr="00DC34BB">
        <w:t xml:space="preserve"> in particular</w:t>
      </w:r>
      <w:r w:rsidR="000D7EEB" w:rsidRPr="00DC34BB">
        <w:t>,</w:t>
      </w:r>
      <w:r w:rsidRPr="00DC34BB">
        <w:t xml:space="preserve"> for residents of the Mackenzie Valley.</w:t>
      </w:r>
    </w:p>
    <w:p w14:paraId="63B7F981" w14:textId="41FAF707" w:rsidR="00CF0DBE" w:rsidRPr="00DC34BB" w:rsidRDefault="00F02E59" w:rsidP="00CF0DBE">
      <w:pPr>
        <w:pStyle w:val="ListParagraph"/>
        <w:numPr>
          <w:ilvl w:val="0"/>
          <w:numId w:val="13"/>
        </w:numPr>
      </w:pPr>
      <w:r w:rsidRPr="00DC34BB">
        <w:t xml:space="preserve">Multiple Uses and Values: Decisions should address multiple, diverse, and sequential uses of </w:t>
      </w:r>
      <w:r w:rsidR="00900451" w:rsidRPr="00DC34BB">
        <w:t xml:space="preserve">land and </w:t>
      </w:r>
      <w:r w:rsidRPr="00DC34BB">
        <w:t xml:space="preserve">water – many of which depend at the same time on the same </w:t>
      </w:r>
      <w:r w:rsidR="00FD2633" w:rsidRPr="00DC34BB">
        <w:t>watercourse</w:t>
      </w:r>
      <w:r w:rsidR="00C1351E" w:rsidRPr="00DC34BB">
        <w:t xml:space="preserve"> </w:t>
      </w:r>
      <w:commentRangeStart w:id="38"/>
      <w:r w:rsidR="00C2775F" w:rsidRPr="00DC34BB">
        <w:t>or resources</w:t>
      </w:r>
      <w:r w:rsidR="00C1351E" w:rsidRPr="00DC34BB">
        <w:t xml:space="preserve"> – and consider the cumulative </w:t>
      </w:r>
      <w:r w:rsidR="007D7F33" w:rsidRPr="00DC34BB">
        <w:t>effects</w:t>
      </w:r>
      <w:r w:rsidR="00C1351E" w:rsidRPr="00DC34BB">
        <w:t xml:space="preserve"> of multiple uses and waste </w:t>
      </w:r>
      <w:r w:rsidR="005704A2" w:rsidRPr="00DC34BB">
        <w:t>discharge</w:t>
      </w:r>
      <w:r w:rsidR="00C1351E" w:rsidRPr="00DC34BB">
        <w:t>s</w:t>
      </w:r>
      <w:commentRangeEnd w:id="38"/>
      <w:r w:rsidR="005C1362" w:rsidRPr="00DC34BB">
        <w:rPr>
          <w:rStyle w:val="CommentReference"/>
        </w:rPr>
        <w:commentReference w:id="38"/>
      </w:r>
      <w:r w:rsidRPr="00DC34BB">
        <w:t>.</w:t>
      </w:r>
    </w:p>
    <w:p w14:paraId="67D775C8" w14:textId="5EFDBAE9" w:rsidR="00F02E59" w:rsidRPr="00DC34BB" w:rsidRDefault="00F02E59" w:rsidP="00CF0DBE">
      <w:pPr>
        <w:pStyle w:val="ListParagraph"/>
        <w:numPr>
          <w:ilvl w:val="0"/>
          <w:numId w:val="13"/>
        </w:numPr>
      </w:pPr>
      <w:r w:rsidRPr="00DC34BB">
        <w:t xml:space="preserve">Shared Responsibility: In our co-management system, all </w:t>
      </w:r>
      <w:r w:rsidR="000646F9" w:rsidRPr="00DC34BB">
        <w:t xml:space="preserve">parties </w:t>
      </w:r>
      <w:r w:rsidRPr="00DC34BB">
        <w:t xml:space="preserve">have a responsibility to meaningfully participate in decisions that will affect </w:t>
      </w:r>
      <w:r w:rsidR="00665E73" w:rsidRPr="00DC34BB">
        <w:t xml:space="preserve">land and </w:t>
      </w:r>
      <w:r w:rsidRPr="00DC34BB">
        <w:t>water.</w:t>
      </w:r>
    </w:p>
    <w:p w14:paraId="303F090A" w14:textId="4C4B7282" w:rsidR="003A6F55" w:rsidRPr="00DC34BB" w:rsidRDefault="00F02E59" w:rsidP="00BE30C9">
      <w:pPr>
        <w:pStyle w:val="ListParagraph"/>
        <w:numPr>
          <w:ilvl w:val="0"/>
          <w:numId w:val="13"/>
        </w:numPr>
      </w:pPr>
      <w:r w:rsidRPr="00DC34BB">
        <w:t>Jurisdiction Best-Placed: Although policy development should take place at all jurisdictional levels, policy implementation should be the responsibility of the level most appropriate to resolving the issue at hand.</w:t>
      </w:r>
    </w:p>
    <w:p w14:paraId="0BDB475B" w14:textId="312B7024" w:rsidR="00E32886" w:rsidRPr="00DC34BB" w:rsidRDefault="00E32886" w:rsidP="00753AB9">
      <w:pPr>
        <w:pStyle w:val="Heading1"/>
      </w:pPr>
      <w:bookmarkStart w:id="39" w:name="_Objectives_for_Regulating"/>
      <w:bookmarkStart w:id="40" w:name="_Toc89615533"/>
      <w:bookmarkEnd w:id="39"/>
      <w:r w:rsidRPr="00DC34BB">
        <w:t>Objectives for Regulating the Deposit of Waste</w:t>
      </w:r>
      <w:bookmarkEnd w:id="40"/>
    </w:p>
    <w:p w14:paraId="44782417" w14:textId="7532ED00" w:rsidR="00F02E59" w:rsidRPr="00DC34BB" w:rsidRDefault="00F02E59" w:rsidP="00747434">
      <w:r w:rsidRPr="00DC34BB">
        <w:t xml:space="preserve">In accordance with the guiding principles listed in </w:t>
      </w:r>
      <w:hyperlink w:anchor="_Guiding_Principles" w:history="1">
        <w:r w:rsidRPr="00DC34BB">
          <w:rPr>
            <w:rStyle w:val="Hyperlink"/>
          </w:rPr>
          <w:t xml:space="preserve">section </w:t>
        </w:r>
        <w:r w:rsidR="00D0783C" w:rsidRPr="00DC34BB">
          <w:rPr>
            <w:rStyle w:val="Hyperlink"/>
          </w:rPr>
          <w:t>2</w:t>
        </w:r>
      </w:hyperlink>
      <w:r w:rsidRPr="00DC34BB">
        <w:t xml:space="preserve">, the </w:t>
      </w:r>
      <w:r w:rsidR="000F6809" w:rsidRPr="00DC34BB">
        <w:t>LWBs</w:t>
      </w:r>
      <w:r w:rsidRPr="00DC34BB">
        <w:t xml:space="preserve"> regulate, through licence </w:t>
      </w:r>
      <w:r w:rsidR="00635BB1" w:rsidRPr="00DC34BB">
        <w:t xml:space="preserve">and permit </w:t>
      </w:r>
      <w:r w:rsidRPr="00DC34BB">
        <w:t xml:space="preserve">requirements, the deposit of waste such that the following </w:t>
      </w:r>
      <w:r w:rsidR="007B334A" w:rsidRPr="00DC34BB">
        <w:t xml:space="preserve">three </w:t>
      </w:r>
      <w:r w:rsidRPr="00DC34BB">
        <w:t>objectives are met:</w:t>
      </w:r>
    </w:p>
    <w:p w14:paraId="59B4024F" w14:textId="32FB620A" w:rsidR="005645A1" w:rsidRPr="00DC34BB" w:rsidRDefault="005645A1" w:rsidP="001A0BDB">
      <w:pPr>
        <w:pStyle w:val="ListParagraph"/>
        <w:numPr>
          <w:ilvl w:val="0"/>
          <w:numId w:val="17"/>
        </w:numPr>
      </w:pPr>
      <w:r w:rsidRPr="00DC34BB">
        <w:rPr>
          <w:noProof/>
        </w:rPr>
        <w:lastRenderedPageBreak/>
        <mc:AlternateContent>
          <mc:Choice Requires="wps">
            <w:drawing>
              <wp:anchor distT="45720" distB="45720" distL="114300" distR="114300" simplePos="0" relativeHeight="251658240" behindDoc="0" locked="0" layoutInCell="1" allowOverlap="1" wp14:anchorId="4496E77D" wp14:editId="538DF0B5">
                <wp:simplePos x="0" y="0"/>
                <wp:positionH relativeFrom="page">
                  <wp:posOffset>1352550</wp:posOffset>
                </wp:positionH>
                <wp:positionV relativeFrom="paragraph">
                  <wp:posOffset>582930</wp:posOffset>
                </wp:positionV>
                <wp:extent cx="5200650" cy="1689100"/>
                <wp:effectExtent l="0" t="0" r="1905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689100"/>
                        </a:xfrm>
                        <a:prstGeom prst="rect">
                          <a:avLst/>
                        </a:prstGeom>
                        <a:solidFill>
                          <a:schemeClr val="accent1">
                            <a:lumMod val="20000"/>
                            <a:lumOff val="80000"/>
                          </a:schemeClr>
                        </a:solidFill>
                        <a:ln w="9525">
                          <a:solidFill>
                            <a:srgbClr val="000000"/>
                          </a:solidFill>
                          <a:miter lim="800000"/>
                          <a:headEnd/>
                          <a:tailEnd/>
                        </a:ln>
                      </wps:spPr>
                      <wps:txbx>
                        <w:txbxContent>
                          <w:p w14:paraId="3A3A5737" w14:textId="78BE75D6" w:rsidR="000E2606" w:rsidRDefault="00167692" w:rsidP="005645A1">
                            <w:r w:rsidRPr="00281C51">
                              <w:t>Protection of water quality in the aquatic receiving environment is the primary objective. In licences for projects that include deposit or discharge of waste to water, the level of protection will be defined by narrative or numeric water quality objectives (WQOs) that have been set site-specifically for the aquatic receiving environment in question. Licence conditions for a project will be set as needed to ensure that WQOs will be met. Land use permits may also include conditions that are, directly</w:t>
                            </w:r>
                            <w:r>
                              <w:t xml:space="preserve"> or indirectly, intended to protect water quality in the receiving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6E77D" id="_x0000_t202" coordsize="21600,21600" o:spt="202" path="m,l,21600r21600,l21600,xe">
                <v:stroke joinstyle="miter"/>
                <v:path gradientshapeok="t" o:connecttype="rect"/>
              </v:shapetype>
              <v:shape id="Text Box 2" o:spid="_x0000_s1026" type="#_x0000_t202" style="position:absolute;left:0;text-align:left;margin-left:106.5pt;margin-top:45.9pt;width:409.5pt;height:133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" fillcolor="#d9e2f3 [660]">
                <v:textbox>
                  <w:txbxContent>
                    <w:p w14:paraId="3A3A5737" w14:textId="78BE75D6" w:rsidR="000E2606" w:rsidRDefault="00167692" w:rsidP="005645A1">
                      <w:r w:rsidRPr="00281C51">
                        <w:t>Protection of water quality in the aquatic receiving environment is the primary objective. In licences for projects that include deposit or discharge of waste to water, the level of protection will be defined by narrative or numeric water quality objectives (WQOs) that have been set site-specifically for the aquatic receiving environment in question. Licence conditions for a project will be set as needed to ensure that WQOs will be met. Land use permits may also include conditions that are, directly</w:t>
                      </w:r>
                      <w:r>
                        <w:t xml:space="preserve"> or indirectly, intended to protect water quality in the receiving environment.</w:t>
                      </w:r>
                    </w:p>
                  </w:txbxContent>
                </v:textbox>
                <w10:wrap type="topAndBottom" anchorx="page"/>
              </v:shape>
            </w:pict>
          </mc:Fallback>
        </mc:AlternateContent>
      </w:r>
      <w:r w:rsidRPr="00DC34BB">
        <w:t xml:space="preserve">Water quality in the </w:t>
      </w:r>
      <w:r w:rsidR="008955F2" w:rsidRPr="00DC34BB">
        <w:t xml:space="preserve">aquatic </w:t>
      </w:r>
      <w:r w:rsidRPr="00DC34BB">
        <w:t xml:space="preserve">receiving environment is maintained at </w:t>
      </w:r>
      <w:r w:rsidR="006A158A" w:rsidRPr="00DC34BB">
        <w:t xml:space="preserve">a </w:t>
      </w:r>
      <w:r w:rsidRPr="00DC34BB">
        <w:t xml:space="preserve">level that allows for current and future </w:t>
      </w:r>
      <w:commentRangeStart w:id="41"/>
      <w:r w:rsidRPr="00DC34BB">
        <w:t>uses</w:t>
      </w:r>
      <w:commentRangeEnd w:id="41"/>
      <w:r w:rsidR="00375FFE" w:rsidRPr="00DC34BB">
        <w:rPr>
          <w:rStyle w:val="CommentReference"/>
        </w:rPr>
        <w:commentReference w:id="41"/>
      </w:r>
      <w:r w:rsidRPr="00DC34BB">
        <w:t>.</w:t>
      </w:r>
    </w:p>
    <w:p w14:paraId="284355AB" w14:textId="0D3B174C" w:rsidR="005645A1" w:rsidRPr="00DC34BB" w:rsidRDefault="005645A1" w:rsidP="005645A1">
      <w:pPr>
        <w:pStyle w:val="ListParagraph"/>
      </w:pPr>
    </w:p>
    <w:p w14:paraId="5242BB0D" w14:textId="19052791" w:rsidR="004234E0" w:rsidRPr="00DC34BB" w:rsidRDefault="004234E0" w:rsidP="004234E0">
      <w:pPr>
        <w:pStyle w:val="ListParagraph"/>
        <w:numPr>
          <w:ilvl w:val="0"/>
          <w:numId w:val="17"/>
        </w:numPr>
      </w:pPr>
      <w:r w:rsidRPr="00DC34BB">
        <w:rPr>
          <w:noProof/>
        </w:rPr>
        <mc:AlternateContent>
          <mc:Choice Requires="wps">
            <w:drawing>
              <wp:anchor distT="45720" distB="45720" distL="114300" distR="114300" simplePos="0" relativeHeight="251658242" behindDoc="0" locked="0" layoutInCell="1" allowOverlap="1" wp14:anchorId="7770A160" wp14:editId="5C7C79B0">
                <wp:simplePos x="0" y="0"/>
                <wp:positionH relativeFrom="column">
                  <wp:posOffset>431800</wp:posOffset>
                </wp:positionH>
                <wp:positionV relativeFrom="paragraph">
                  <wp:posOffset>374650</wp:posOffset>
                </wp:positionV>
                <wp:extent cx="5200650" cy="1220470"/>
                <wp:effectExtent l="0" t="0" r="19050" b="1778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220470"/>
                        </a:xfrm>
                        <a:prstGeom prst="rect">
                          <a:avLst/>
                        </a:prstGeom>
                        <a:solidFill>
                          <a:schemeClr val="accent1">
                            <a:lumMod val="20000"/>
                            <a:lumOff val="80000"/>
                          </a:schemeClr>
                        </a:solidFill>
                        <a:ln w="9525">
                          <a:solidFill>
                            <a:srgbClr val="000000"/>
                          </a:solidFill>
                          <a:miter lim="800000"/>
                          <a:headEnd/>
                          <a:tailEnd/>
                        </a:ln>
                      </wps:spPr>
                      <wps:txbx>
                        <w:txbxContent>
                          <w:p w14:paraId="0D6A6E71" w14:textId="5CA877DC" w:rsidR="004234E0" w:rsidRDefault="004234E0" w:rsidP="004234E0">
                            <w:r>
                              <w:t xml:space="preserve">The </w:t>
                            </w:r>
                            <w:r w:rsidR="007918D1">
                              <w:t xml:space="preserve">LWBs </w:t>
                            </w:r>
                            <w:r>
                              <w:t>expect applicants</w:t>
                            </w:r>
                            <w:r w:rsidR="007918D1">
                              <w:t xml:space="preserve">, </w:t>
                            </w:r>
                            <w:r>
                              <w:t>licensees</w:t>
                            </w:r>
                            <w:r w:rsidR="007918D1">
                              <w:t>, and permittees</w:t>
                            </w:r>
                            <w:r>
                              <w:t xml:space="preserve"> to identify and implement waste prevention and/or minimization measures, whenever feasible. Implementation of such measures may be stipulated in the </w:t>
                            </w:r>
                            <w:r w:rsidR="007918D1">
                              <w:t xml:space="preserve">licence and permit </w:t>
                            </w:r>
                            <w:r>
                              <w:t xml:space="preserve">conditions. </w:t>
                            </w:r>
                            <w:r w:rsidR="00A05E6E">
                              <w:t>For licences, t</w:t>
                            </w:r>
                            <w:r>
                              <w:t xml:space="preserve">he </w:t>
                            </w:r>
                            <w:r w:rsidR="007B7E8F">
                              <w:t xml:space="preserve">LWBs </w:t>
                            </w:r>
                            <w:r>
                              <w:t xml:space="preserve">assess how these measures are expected to impact </w:t>
                            </w:r>
                            <w:r w:rsidR="000646F9">
                              <w:t xml:space="preserve">waste discharged </w:t>
                            </w:r>
                            <w:r>
                              <w:t xml:space="preserve">from a project in order to set </w:t>
                            </w:r>
                            <w:r w:rsidR="007D7F33">
                              <w:t>discharge criteria</w:t>
                            </w:r>
                            <w:r>
                              <w:t xml:space="preserve"> that licensees</w:t>
                            </w:r>
                            <w:r w:rsidR="00723271">
                              <w:t xml:space="preserve"> </w:t>
                            </w:r>
                            <w:r>
                              <w:t>can reasonably and consistently achieve.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0A160" id="Text Box 3" o:spid="_x0000_s1027" type="#_x0000_t202" style="position:absolute;left:0;text-align:left;margin-left:34pt;margin-top:29.5pt;width:409.5pt;height:96.1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" fillcolor="#d9e2f3 [660]">
                <v:textbox style="mso-fit-shape-to-text:t">
                  <w:txbxContent>
                    <w:p w14:paraId="0D6A6E71" w14:textId="5CA877DC" w:rsidR="004234E0" w:rsidRDefault="004234E0" w:rsidP="004234E0">
                      <w:r>
                        <w:t xml:space="preserve">The </w:t>
                      </w:r>
                      <w:r w:rsidR="007918D1">
                        <w:t xml:space="preserve">LWBs </w:t>
                      </w:r>
                      <w:r>
                        <w:t>expect applicants</w:t>
                      </w:r>
                      <w:r w:rsidR="007918D1">
                        <w:t xml:space="preserve">, </w:t>
                      </w:r>
                      <w:r>
                        <w:t>licensees</w:t>
                      </w:r>
                      <w:r w:rsidR="007918D1">
                        <w:t>, and permittees</w:t>
                      </w:r>
                      <w:r>
                        <w:t xml:space="preserve"> to identify and implement waste prevention and/or minimization measures, whenever feasible. Implementation of such measures may be stipulated in the </w:t>
                      </w:r>
                      <w:r w:rsidR="007918D1">
                        <w:t xml:space="preserve">licence and permit </w:t>
                      </w:r>
                      <w:r>
                        <w:t xml:space="preserve">conditions. </w:t>
                      </w:r>
                      <w:r w:rsidR="00A05E6E">
                        <w:t>For licences, t</w:t>
                      </w:r>
                      <w:r>
                        <w:t xml:space="preserve">he </w:t>
                      </w:r>
                      <w:r w:rsidR="007B7E8F">
                        <w:t xml:space="preserve">LWBs </w:t>
                      </w:r>
                      <w:r>
                        <w:t xml:space="preserve">assess how these measures are expected to impact </w:t>
                      </w:r>
                      <w:r w:rsidR="000646F9">
                        <w:t xml:space="preserve">waste discharged </w:t>
                      </w:r>
                      <w:r>
                        <w:t xml:space="preserve">from a project in order to set </w:t>
                      </w:r>
                      <w:r w:rsidR="007D7F33">
                        <w:t>discharge criteria</w:t>
                      </w:r>
                      <w:r>
                        <w:t xml:space="preserve"> that licensees</w:t>
                      </w:r>
                      <w:r w:rsidR="00723271">
                        <w:t xml:space="preserve"> </w:t>
                      </w:r>
                      <w:r>
                        <w:t>can reasonably and consistently achieve.</w:t>
                      </w:r>
                    </w:p>
                  </w:txbxContent>
                </v:textbox>
                <w10:wrap type="topAndBottom"/>
              </v:shape>
            </w:pict>
          </mc:Fallback>
        </mc:AlternateContent>
      </w:r>
      <w:r w:rsidRPr="00DC34BB">
        <w:t>The amount of waste to be deposited to the receiving environment is minimized.</w:t>
      </w:r>
    </w:p>
    <w:p w14:paraId="650EC3BA" w14:textId="662E780F" w:rsidR="004234E0" w:rsidRPr="00DC34BB" w:rsidRDefault="004234E0" w:rsidP="004234E0">
      <w:pPr>
        <w:pStyle w:val="ListParagraph"/>
      </w:pPr>
    </w:p>
    <w:p w14:paraId="2B6D0F50" w14:textId="6F4F6574" w:rsidR="005645A1" w:rsidRPr="00DC34BB" w:rsidRDefault="005645A1" w:rsidP="005645A1">
      <w:pPr>
        <w:pStyle w:val="ListParagraph"/>
        <w:numPr>
          <w:ilvl w:val="0"/>
          <w:numId w:val="17"/>
        </w:numPr>
      </w:pPr>
      <w:commentRangeStart w:id="42"/>
      <w:r w:rsidRPr="00DC34BB">
        <w:rPr>
          <w:noProof/>
        </w:rPr>
        <mc:AlternateContent>
          <mc:Choice Requires="wps">
            <w:drawing>
              <wp:anchor distT="45720" distB="45720" distL="114300" distR="114300" simplePos="0" relativeHeight="251658241" behindDoc="0" locked="0" layoutInCell="1" allowOverlap="1" wp14:anchorId="60C36233" wp14:editId="1DBD9014">
                <wp:simplePos x="0" y="0"/>
                <wp:positionH relativeFrom="column">
                  <wp:posOffset>444500</wp:posOffset>
                </wp:positionH>
                <wp:positionV relativeFrom="paragraph">
                  <wp:posOffset>375920</wp:posOffset>
                </wp:positionV>
                <wp:extent cx="5200650" cy="1270000"/>
                <wp:effectExtent l="0" t="0" r="19050" b="254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270000"/>
                        </a:xfrm>
                        <a:prstGeom prst="rect">
                          <a:avLst/>
                        </a:prstGeom>
                        <a:solidFill>
                          <a:schemeClr val="accent1">
                            <a:lumMod val="20000"/>
                            <a:lumOff val="80000"/>
                          </a:schemeClr>
                        </a:solidFill>
                        <a:ln w="9525">
                          <a:solidFill>
                            <a:srgbClr val="000000"/>
                          </a:solidFill>
                          <a:miter lim="800000"/>
                          <a:headEnd/>
                          <a:tailEnd/>
                        </a:ln>
                      </wps:spPr>
                      <wps:txbx>
                        <w:txbxContent>
                          <w:p w14:paraId="39F0D5F0" w14:textId="7111C2C0" w:rsidR="007B334A" w:rsidRDefault="007B334A" w:rsidP="007B334A">
                            <w:r>
                              <w:t xml:space="preserve">The </w:t>
                            </w:r>
                            <w:r w:rsidR="00756B73">
                              <w:t>LWBs</w:t>
                            </w:r>
                            <w:r>
                              <w:t xml:space="preserve"> expect applicants</w:t>
                            </w:r>
                            <w:r w:rsidR="002F3E10">
                              <w:t xml:space="preserve">, </w:t>
                            </w:r>
                            <w:r>
                              <w:t>licensees</w:t>
                            </w:r>
                            <w:r w:rsidR="002F3E10">
                              <w:t>, and permittees</w:t>
                            </w:r>
                            <w:r>
                              <w:t xml:space="preserve"> to identify and implement best practices in the management of waste, whenever feasible.</w:t>
                            </w:r>
                            <w:r w:rsidR="00760FD0">
                              <w:t xml:space="preserve"> </w:t>
                            </w:r>
                            <w:r w:rsidR="003A3237">
                              <w:t>The LWBs may consider</w:t>
                            </w:r>
                            <w:r w:rsidR="006A46DF">
                              <w:t xml:space="preserve"> </w:t>
                            </w:r>
                            <w:r w:rsidR="001A68F6">
                              <w:t>s</w:t>
                            </w:r>
                            <w:r w:rsidR="002D68BF">
                              <w:t xml:space="preserve">ite-specific </w:t>
                            </w:r>
                            <w:r w:rsidR="00B5069B">
                              <w:t>factors</w:t>
                            </w:r>
                            <w:r w:rsidR="002D68BF">
                              <w:t xml:space="preserve"> </w:t>
                            </w:r>
                            <w:r w:rsidR="006E2AA9">
                              <w:t>when</w:t>
                            </w:r>
                            <w:r w:rsidR="00B26DF3">
                              <w:t xml:space="preserve"> </w:t>
                            </w:r>
                            <w:r w:rsidR="006E2AA9">
                              <w:t>determining</w:t>
                            </w:r>
                            <w:r w:rsidR="00B26DF3">
                              <w:t xml:space="preserve"> appropriate best practices for a project.</w:t>
                            </w:r>
                            <w:r>
                              <w:t xml:space="preserve"> Implementation of such practices may be stipulated in the</w:t>
                            </w:r>
                            <w:r w:rsidR="00A43C4D">
                              <w:t xml:space="preserve"> licence</w:t>
                            </w:r>
                            <w:r w:rsidR="00982C77">
                              <w:t xml:space="preserve"> or permit </w:t>
                            </w:r>
                            <w:r>
                              <w:t xml:space="preserve">conditions, </w:t>
                            </w:r>
                            <w:r w:rsidRPr="000326E3">
                              <w:t xml:space="preserve">particularly through requirements </w:t>
                            </w:r>
                            <w:r>
                              <w:t>for</w:t>
                            </w:r>
                            <w:r w:rsidRPr="000326E3">
                              <w:t xml:space="preserve"> management or operation and maintenance plans. </w:t>
                            </w:r>
                            <w:r>
                              <w:t xml:space="preserve">Where applicable, the </w:t>
                            </w:r>
                            <w:r w:rsidR="00982C77">
                              <w:t>LWBs</w:t>
                            </w:r>
                            <w:r>
                              <w:t xml:space="preserve"> may require conformity with specific guidance documents. </w:t>
                            </w:r>
                          </w:p>
                          <w:p w14:paraId="3B69BE89" w14:textId="29D05F9D" w:rsidR="000E2606" w:rsidRDefault="000E2606" w:rsidP="00564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36233" id="_x0000_s1028" type="#_x0000_t202" style="position:absolute;left:0;text-align:left;margin-left:35pt;margin-top:29.6pt;width:409.5pt;height:10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" fillcolor="#d9e2f3 [660]">
                <v:textbox>
                  <w:txbxContent>
                    <w:p w14:paraId="39F0D5F0" w14:textId="7111C2C0" w:rsidR="007B334A" w:rsidRDefault="007B334A" w:rsidP="007B334A">
                      <w:r>
                        <w:t xml:space="preserve">The </w:t>
                      </w:r>
                      <w:r w:rsidR="00756B73">
                        <w:t>LWBs</w:t>
                      </w:r>
                      <w:r>
                        <w:t xml:space="preserve"> expect applicants</w:t>
                      </w:r>
                      <w:r w:rsidR="002F3E10">
                        <w:t xml:space="preserve">, </w:t>
                      </w:r>
                      <w:r>
                        <w:t>licensees</w:t>
                      </w:r>
                      <w:r w:rsidR="002F3E10">
                        <w:t>, and permittees</w:t>
                      </w:r>
                      <w:r>
                        <w:t xml:space="preserve"> to identify and implement best practices in the management of waste, whenever feasible.</w:t>
                      </w:r>
                      <w:r w:rsidR="00760FD0">
                        <w:t xml:space="preserve"> </w:t>
                      </w:r>
                      <w:r w:rsidR="003A3237">
                        <w:t>The LWBs may consider</w:t>
                      </w:r>
                      <w:r w:rsidR="006A46DF">
                        <w:t xml:space="preserve"> </w:t>
                      </w:r>
                      <w:r w:rsidR="001A68F6">
                        <w:t>s</w:t>
                      </w:r>
                      <w:r w:rsidR="002D68BF">
                        <w:t xml:space="preserve">ite-specific </w:t>
                      </w:r>
                      <w:r w:rsidR="00B5069B">
                        <w:t>factors</w:t>
                      </w:r>
                      <w:r w:rsidR="002D68BF">
                        <w:t xml:space="preserve"> </w:t>
                      </w:r>
                      <w:r w:rsidR="006E2AA9">
                        <w:t>when</w:t>
                      </w:r>
                      <w:r w:rsidR="00B26DF3">
                        <w:t xml:space="preserve"> </w:t>
                      </w:r>
                      <w:r w:rsidR="006E2AA9">
                        <w:t>determining</w:t>
                      </w:r>
                      <w:r w:rsidR="00B26DF3">
                        <w:t xml:space="preserve"> appropriate best practices for a project.</w:t>
                      </w:r>
                      <w:r>
                        <w:t xml:space="preserve"> Implementation of such practices may be stipulated in the</w:t>
                      </w:r>
                      <w:r w:rsidR="00A43C4D">
                        <w:t xml:space="preserve"> licence</w:t>
                      </w:r>
                      <w:r w:rsidR="00982C77">
                        <w:t xml:space="preserve"> or permit </w:t>
                      </w:r>
                      <w:r>
                        <w:t xml:space="preserve">conditions, </w:t>
                      </w:r>
                      <w:r w:rsidRPr="000326E3">
                        <w:t xml:space="preserve">particularly through requirements </w:t>
                      </w:r>
                      <w:r>
                        <w:t>for</w:t>
                      </w:r>
                      <w:r w:rsidRPr="000326E3">
                        <w:t xml:space="preserve"> management or operation and maintenance plans. </w:t>
                      </w:r>
                      <w:r>
                        <w:t xml:space="preserve">Where applicable, the </w:t>
                      </w:r>
                      <w:r w:rsidR="00982C77">
                        <w:t>LWBs</w:t>
                      </w:r>
                      <w:r>
                        <w:t xml:space="preserve"> may require conformity with specific guidance documents. </w:t>
                      </w:r>
                    </w:p>
                    <w:p w14:paraId="3B69BE89" w14:textId="29D05F9D" w:rsidR="000E2606" w:rsidRDefault="000E2606" w:rsidP="005645A1"/>
                  </w:txbxContent>
                </v:textbox>
                <w10:wrap type="topAndBottom"/>
              </v:shape>
            </w:pict>
          </mc:Fallback>
        </mc:AlternateContent>
      </w:r>
      <w:r w:rsidR="004234E0" w:rsidRPr="00DC34BB">
        <w:t xml:space="preserve">Waste is managed in accordance with best practices. </w:t>
      </w:r>
      <w:commentRangeEnd w:id="42"/>
      <w:r w:rsidR="00C24699" w:rsidRPr="00DC34BB">
        <w:rPr>
          <w:rStyle w:val="CommentReference"/>
        </w:rPr>
        <w:commentReference w:id="42"/>
      </w:r>
    </w:p>
    <w:p w14:paraId="5DB1F9C7" w14:textId="77777777" w:rsidR="005645A1" w:rsidRPr="00DC34BB" w:rsidRDefault="005645A1" w:rsidP="005645A1"/>
    <w:p w14:paraId="6401756F" w14:textId="78CA68B8" w:rsidR="00F02E59" w:rsidRPr="00DC34BB" w:rsidRDefault="00F02E59" w:rsidP="00F02E59">
      <w:r w:rsidRPr="00DC34BB">
        <w:t xml:space="preserve">There are several different types of requirements (e.g., </w:t>
      </w:r>
      <w:r w:rsidR="00F643E7" w:rsidRPr="00DC34BB">
        <w:t>prescribed management practices,</w:t>
      </w:r>
      <w:r w:rsidRPr="00DC34BB">
        <w:t xml:space="preserve"> management plans, </w:t>
      </w:r>
      <w:r w:rsidR="00F643E7" w:rsidRPr="00DC34BB">
        <w:t>discharge criteria,</w:t>
      </w:r>
      <w:r w:rsidR="001C6D21" w:rsidRPr="00DC34BB">
        <w:t xml:space="preserve"> </w:t>
      </w:r>
      <w:r w:rsidRPr="00DC34BB">
        <w:t xml:space="preserve">monitoring, etc.) </w:t>
      </w:r>
      <w:r w:rsidR="00F0375F" w:rsidRPr="00DC34BB">
        <w:t xml:space="preserve">that the </w:t>
      </w:r>
      <w:r w:rsidR="001C6D21" w:rsidRPr="00DC34BB">
        <w:t>LWBs</w:t>
      </w:r>
      <w:r w:rsidR="00F0375F" w:rsidRPr="00DC34BB">
        <w:t xml:space="preserve"> include in licence </w:t>
      </w:r>
      <w:r w:rsidR="001C6D21" w:rsidRPr="00DC34BB">
        <w:t xml:space="preserve">and </w:t>
      </w:r>
      <w:r w:rsidR="009968D1" w:rsidRPr="00DC34BB">
        <w:t>permit</w:t>
      </w:r>
      <w:r w:rsidR="001C6D21" w:rsidRPr="00DC34BB">
        <w:t xml:space="preserve"> </w:t>
      </w:r>
      <w:r w:rsidR="00F0375F" w:rsidRPr="00DC34BB">
        <w:t>conditions to</w:t>
      </w:r>
      <w:r w:rsidRPr="00DC34BB">
        <w:t xml:space="preserve"> ensure that</w:t>
      </w:r>
      <w:r w:rsidR="00F0375F" w:rsidRPr="00DC34BB">
        <w:t xml:space="preserve"> </w:t>
      </w:r>
      <w:r w:rsidRPr="00DC34BB">
        <w:t>the objectives above</w:t>
      </w:r>
      <w:r w:rsidR="00AF4F18" w:rsidRPr="00DC34BB">
        <w:t xml:space="preserve"> are met</w:t>
      </w:r>
      <w:r w:rsidRPr="00DC34BB">
        <w:t xml:space="preserve">. </w:t>
      </w:r>
      <w:hyperlink w:anchor="_Typical_Licence_and" w:history="1">
        <w:r w:rsidR="001B2E6F" w:rsidRPr="00DC34BB">
          <w:rPr>
            <w:rStyle w:val="Hyperlink"/>
          </w:rPr>
          <w:t xml:space="preserve">Section </w:t>
        </w:r>
        <w:r w:rsidR="000D7EEB" w:rsidRPr="00DC34BB">
          <w:rPr>
            <w:rStyle w:val="Hyperlink"/>
          </w:rPr>
          <w:t>4</w:t>
        </w:r>
      </w:hyperlink>
      <w:r w:rsidR="001B2E6F" w:rsidRPr="00DC34BB">
        <w:t xml:space="preserve"> describes t</w:t>
      </w:r>
      <w:r w:rsidRPr="00DC34BB">
        <w:t>he key requirements</w:t>
      </w:r>
      <w:r w:rsidR="00F0375F" w:rsidRPr="00DC34BB">
        <w:t xml:space="preserve"> </w:t>
      </w:r>
      <w:r w:rsidR="006E54D5" w:rsidRPr="00DC34BB">
        <w:t xml:space="preserve">and </w:t>
      </w:r>
      <w:hyperlink w:anchor="_Information_Required_to" w:history="1">
        <w:r w:rsidR="001B2E6F" w:rsidRPr="00DC34BB">
          <w:rPr>
            <w:rStyle w:val="Hyperlink"/>
          </w:rPr>
          <w:t xml:space="preserve">section </w:t>
        </w:r>
        <w:r w:rsidR="000D7EEB" w:rsidRPr="00DC34BB">
          <w:rPr>
            <w:rStyle w:val="Hyperlink"/>
          </w:rPr>
          <w:t>5</w:t>
        </w:r>
      </w:hyperlink>
      <w:r w:rsidR="001B2E6F" w:rsidRPr="00DC34BB">
        <w:t xml:space="preserve"> describes t</w:t>
      </w:r>
      <w:r w:rsidRPr="00DC34BB">
        <w:t xml:space="preserve">he types of information that the </w:t>
      </w:r>
      <w:r w:rsidR="00AA66C0" w:rsidRPr="00DC34BB">
        <w:t xml:space="preserve">LWBs </w:t>
      </w:r>
      <w:r w:rsidRPr="00DC34BB">
        <w:t xml:space="preserve">require to </w:t>
      </w:r>
      <w:r w:rsidR="001B2E6F" w:rsidRPr="00DC34BB">
        <w:t xml:space="preserve">establish the requirements and </w:t>
      </w:r>
      <w:r w:rsidRPr="00DC34BB">
        <w:t xml:space="preserve">conditions </w:t>
      </w:r>
      <w:r w:rsidR="001B2E6F" w:rsidRPr="00DC34BB">
        <w:t>specific to a particular</w:t>
      </w:r>
      <w:r w:rsidR="006E54D5" w:rsidRPr="00DC34BB">
        <w:t xml:space="preserve"> project</w:t>
      </w:r>
      <w:r w:rsidRPr="00DC34BB">
        <w:t>.</w:t>
      </w:r>
      <w:r w:rsidR="00D52E38" w:rsidRPr="00DC34BB">
        <w:t xml:space="preserve"> </w:t>
      </w:r>
      <w:commentRangeStart w:id="43"/>
      <w:r w:rsidR="00D52E38" w:rsidRPr="00DC34BB">
        <w:t xml:space="preserve">In setting these conditions, the </w:t>
      </w:r>
      <w:r w:rsidR="00FF46B0" w:rsidRPr="00DC34BB">
        <w:t>LWBs</w:t>
      </w:r>
      <w:r w:rsidR="00D52E38" w:rsidRPr="00DC34BB">
        <w:t xml:space="preserve"> will consider the entire life of the project, including the post-closure goals </w:t>
      </w:r>
      <w:r w:rsidR="00FA285A" w:rsidRPr="00DC34BB">
        <w:t xml:space="preserve">and objectives </w:t>
      </w:r>
      <w:r w:rsidR="00D52E38" w:rsidRPr="00DC34BB">
        <w:t xml:space="preserve">for the site. </w:t>
      </w:r>
      <w:commentRangeEnd w:id="43"/>
      <w:r w:rsidR="00D52E38" w:rsidRPr="00DC34BB">
        <w:rPr>
          <w:rStyle w:val="CommentReference"/>
        </w:rPr>
        <w:commentReference w:id="43"/>
      </w:r>
      <w:commentRangeStart w:id="44"/>
      <w:r w:rsidR="00917FB1" w:rsidRPr="00DC34BB">
        <w:t xml:space="preserve">In keeping with the concept of adaptive management, the </w:t>
      </w:r>
      <w:r w:rsidR="00FF46B0" w:rsidRPr="00DC34BB">
        <w:t>LWBs</w:t>
      </w:r>
      <w:r w:rsidR="00917FB1" w:rsidRPr="00DC34BB">
        <w:t xml:space="preserve"> acknowledge that </w:t>
      </w:r>
      <w:r w:rsidR="00E514DF" w:rsidRPr="00DC34BB">
        <w:t xml:space="preserve">revisions to management plans and/or </w:t>
      </w:r>
      <w:r w:rsidR="00E2071A" w:rsidRPr="00DC34BB">
        <w:t>amendments</w:t>
      </w:r>
      <w:r w:rsidR="00917FB1" w:rsidRPr="00DC34BB">
        <w:t xml:space="preserve"> to conditions may be necessary as more information becomes available over the life of a project. </w:t>
      </w:r>
      <w:commentRangeEnd w:id="44"/>
      <w:r w:rsidR="00917FB1" w:rsidRPr="00DC34BB">
        <w:rPr>
          <w:rStyle w:val="CommentReference"/>
        </w:rPr>
        <w:commentReference w:id="44"/>
      </w:r>
    </w:p>
    <w:p w14:paraId="4D8DBC64" w14:textId="546A5BC4" w:rsidR="004259C8" w:rsidRPr="00DC34BB" w:rsidRDefault="00E32886" w:rsidP="00753AB9">
      <w:pPr>
        <w:pStyle w:val="Heading1"/>
      </w:pPr>
      <w:bookmarkStart w:id="45" w:name="_Typical_Licence_and"/>
      <w:bookmarkStart w:id="46" w:name="_Toc89615534"/>
      <w:bookmarkEnd w:id="45"/>
      <w:r w:rsidRPr="00DC34BB">
        <w:lastRenderedPageBreak/>
        <w:t xml:space="preserve">Typical Licence </w:t>
      </w:r>
      <w:r w:rsidR="00002B22" w:rsidRPr="00DC34BB">
        <w:t xml:space="preserve">and </w:t>
      </w:r>
      <w:r w:rsidR="007F68F9" w:rsidRPr="00DC34BB">
        <w:t xml:space="preserve">Permit </w:t>
      </w:r>
      <w:r w:rsidRPr="00DC34BB">
        <w:t>Requirements Used to Regulate the Deposit of Waste</w:t>
      </w:r>
      <w:bookmarkEnd w:id="46"/>
    </w:p>
    <w:p w14:paraId="7A49ABC1" w14:textId="6018663A" w:rsidR="00F02E59" w:rsidRPr="00DC34BB" w:rsidRDefault="00196EDC" w:rsidP="00F02E59">
      <w:r w:rsidRPr="00DC34BB">
        <w:t xml:space="preserve">The </w:t>
      </w:r>
      <w:r w:rsidR="00AB7217" w:rsidRPr="00DC34BB">
        <w:t xml:space="preserve">LWBs </w:t>
      </w:r>
      <w:r w:rsidR="00F02E59" w:rsidRPr="00DC34BB">
        <w:t xml:space="preserve">will set </w:t>
      </w:r>
      <w:r w:rsidR="006F1687" w:rsidRPr="00DC34BB">
        <w:t>licence</w:t>
      </w:r>
      <w:r w:rsidR="00F0375F" w:rsidRPr="00DC34BB">
        <w:t xml:space="preserve"> </w:t>
      </w:r>
      <w:r w:rsidR="00AB7217" w:rsidRPr="00DC34BB">
        <w:t xml:space="preserve">and </w:t>
      </w:r>
      <w:r w:rsidR="00BE368F" w:rsidRPr="00DC34BB">
        <w:t xml:space="preserve">permit </w:t>
      </w:r>
      <w:r w:rsidR="00F0375F" w:rsidRPr="00DC34BB">
        <w:t>conditions</w:t>
      </w:r>
      <w:r w:rsidR="00F02E59" w:rsidRPr="00DC34BB">
        <w:t xml:space="preserve"> to ensure that the objectives set out in </w:t>
      </w:r>
      <w:hyperlink w:anchor="_Objectives_for_Regulating" w:history="1">
        <w:r w:rsidR="008927B4" w:rsidRPr="00DC34BB">
          <w:rPr>
            <w:rStyle w:val="Hyperlink"/>
          </w:rPr>
          <w:t>section 3</w:t>
        </w:r>
      </w:hyperlink>
      <w:r w:rsidR="00F02E59" w:rsidRPr="00DC34BB">
        <w:t xml:space="preserve"> for regulating the deposit of waste are met. </w:t>
      </w:r>
      <w:r w:rsidRPr="00DC34BB">
        <w:t xml:space="preserve">The </w:t>
      </w:r>
      <w:r w:rsidR="00AB7217" w:rsidRPr="00DC34BB">
        <w:t>LWBs</w:t>
      </w:r>
      <w:r w:rsidRPr="00DC34BB">
        <w:t xml:space="preserve"> will set </w:t>
      </w:r>
      <w:r w:rsidR="002F3EDF" w:rsidRPr="00DC34BB">
        <w:t xml:space="preserve">conditions </w:t>
      </w:r>
      <w:r w:rsidR="00F02E59" w:rsidRPr="00DC34BB">
        <w:t xml:space="preserve">on a project-specific basis, </w:t>
      </w:r>
      <w:commentRangeStart w:id="47"/>
      <w:r w:rsidRPr="00DC34BB">
        <w:t xml:space="preserve">considering the evidence gathered during the regulatory process for a project, </w:t>
      </w:r>
      <w:commentRangeEnd w:id="47"/>
      <w:r w:rsidR="00F53AFE" w:rsidRPr="00DC34BB">
        <w:rPr>
          <w:rStyle w:val="CommentReference"/>
        </w:rPr>
        <w:commentReference w:id="47"/>
      </w:r>
      <w:r w:rsidR="00F02E59" w:rsidRPr="00DC34BB">
        <w:t xml:space="preserve">but the types of requirements </w:t>
      </w:r>
      <w:r w:rsidRPr="00DC34BB">
        <w:t xml:space="preserve">the </w:t>
      </w:r>
      <w:r w:rsidR="00AB7217" w:rsidRPr="00DC34BB">
        <w:t>LWBs</w:t>
      </w:r>
      <w:r w:rsidRPr="00DC34BB">
        <w:t xml:space="preserve"> </w:t>
      </w:r>
      <w:r w:rsidR="00F02E59" w:rsidRPr="00DC34BB">
        <w:t>typically use are described below.</w:t>
      </w:r>
    </w:p>
    <w:p w14:paraId="4323E605" w14:textId="3E33A0B9" w:rsidR="00E32886" w:rsidRPr="00DC34BB" w:rsidRDefault="004259C8" w:rsidP="004259C8">
      <w:pPr>
        <w:pStyle w:val="Heading2"/>
      </w:pPr>
      <w:bookmarkStart w:id="48" w:name="_Toc89615535"/>
      <w:commentRangeStart w:id="49"/>
      <w:r w:rsidRPr="00DC34BB">
        <w:t>Waste Management Practices</w:t>
      </w:r>
      <w:bookmarkEnd w:id="48"/>
      <w:commentRangeEnd w:id="49"/>
      <w:r w:rsidR="00D126D0" w:rsidRPr="00DC34BB">
        <w:rPr>
          <w:rStyle w:val="CommentReference"/>
          <w:rFonts w:eastAsiaTheme="minorHAnsi" w:cstheme="minorBidi"/>
          <w:b w:val="0"/>
        </w:rPr>
        <w:commentReference w:id="49"/>
      </w:r>
    </w:p>
    <w:p w14:paraId="521E2823" w14:textId="116D7833" w:rsidR="00F02E59" w:rsidRPr="00DC34BB" w:rsidRDefault="00F02E59" w:rsidP="00F02E59">
      <w:r w:rsidRPr="00DC34BB">
        <w:t xml:space="preserve">In general, waste management practices should be guided by the waste prevention/minimization hierarchy of preferred options, as </w:t>
      </w:r>
      <w:r w:rsidR="0081046F" w:rsidRPr="00DC34BB">
        <w:t>set out in the</w:t>
      </w:r>
      <w:r w:rsidR="00D30E9C" w:rsidRPr="00DC34BB">
        <w:t xml:space="preserve"> </w:t>
      </w:r>
      <w:r w:rsidR="00002B22" w:rsidRPr="00DC34BB">
        <w:t>LWBs</w:t>
      </w:r>
      <w:r w:rsidR="0019075B" w:rsidRPr="00DC34BB">
        <w:t>’</w:t>
      </w:r>
      <w:r w:rsidR="00A75B64" w:rsidRPr="00DC34BB">
        <w:t xml:space="preserve"> </w:t>
      </w:r>
      <w:hyperlink r:id="rId43" w:history="1">
        <w:r w:rsidR="00D30E9C" w:rsidRPr="00DC34BB">
          <w:rPr>
            <w:rStyle w:val="Hyperlink"/>
            <w:i/>
            <w:iCs/>
          </w:rPr>
          <w:t>Guidelines</w:t>
        </w:r>
        <w:r w:rsidR="00A75B64" w:rsidRPr="00DC34BB">
          <w:rPr>
            <w:rStyle w:val="Hyperlink"/>
            <w:i/>
            <w:iCs/>
          </w:rPr>
          <w:t xml:space="preserve"> for Developing a Waste Management Plan</w:t>
        </w:r>
      </w:hyperlink>
      <w:r w:rsidR="0081046F" w:rsidRPr="00DC34BB">
        <w:t>:</w:t>
      </w:r>
      <w:r w:rsidR="0081046F" w:rsidRPr="00DC34BB" w:rsidDel="0081046F">
        <w:t xml:space="preserve"> </w:t>
      </w:r>
    </w:p>
    <w:p w14:paraId="69F6953D" w14:textId="52823D16" w:rsidR="00F02E59" w:rsidRPr="00DC34BB" w:rsidRDefault="00F02E59" w:rsidP="001A0BDB">
      <w:pPr>
        <w:pStyle w:val="ListParagraph"/>
        <w:numPr>
          <w:ilvl w:val="0"/>
          <w:numId w:val="20"/>
        </w:numPr>
      </w:pPr>
      <w:r w:rsidRPr="00DC34BB">
        <w:t>Source reduction – waste should be prevented or reduced at the source whenever feasible;</w:t>
      </w:r>
    </w:p>
    <w:p w14:paraId="33C82CC9" w14:textId="30CC58D5" w:rsidR="00F02E59" w:rsidRPr="00DC34BB" w:rsidRDefault="00F02E59" w:rsidP="001A0BDB">
      <w:pPr>
        <w:pStyle w:val="ListParagraph"/>
        <w:numPr>
          <w:ilvl w:val="0"/>
          <w:numId w:val="20"/>
        </w:numPr>
      </w:pPr>
      <w:r w:rsidRPr="00DC34BB">
        <w:t>Reuse/recycle – waste that cannot be prevented should be reused or recycled in an environmentally safe manner whenever feasible;</w:t>
      </w:r>
    </w:p>
    <w:p w14:paraId="216AFCE1" w14:textId="4B5E4A17" w:rsidR="00F02E59" w:rsidRPr="00DC34BB" w:rsidRDefault="00F02E59" w:rsidP="001A0BDB">
      <w:pPr>
        <w:pStyle w:val="ListParagraph"/>
        <w:numPr>
          <w:ilvl w:val="0"/>
          <w:numId w:val="20"/>
        </w:numPr>
      </w:pPr>
      <w:r w:rsidRPr="00DC34BB">
        <w:t>Treatment – waste that cannot be prevented or recycled/reused should be treated</w:t>
      </w:r>
      <w:r w:rsidR="00791CB7" w:rsidRPr="00DC34BB">
        <w:t xml:space="preserve"> </w:t>
      </w:r>
      <w:commentRangeStart w:id="50"/>
      <w:r w:rsidR="00791CB7" w:rsidRPr="00DC34BB">
        <w:t>using best practices</w:t>
      </w:r>
      <w:r w:rsidRPr="00DC34BB">
        <w:t xml:space="preserve"> </w:t>
      </w:r>
      <w:r w:rsidR="000646F9" w:rsidRPr="00DC34BB">
        <w:t>and</w:t>
      </w:r>
      <w:commentRangeEnd w:id="50"/>
      <w:r w:rsidR="005E0DCB" w:rsidRPr="00DC34BB">
        <w:rPr>
          <w:rStyle w:val="CommentReference"/>
        </w:rPr>
        <w:commentReference w:id="50"/>
      </w:r>
      <w:r w:rsidR="000646F9" w:rsidRPr="00DC34BB">
        <w:t xml:space="preserve"> </w:t>
      </w:r>
      <w:r w:rsidRPr="00DC34BB">
        <w:t>in an environmentally safe manner whenever feasible; and</w:t>
      </w:r>
    </w:p>
    <w:p w14:paraId="1D277BE9" w14:textId="2FA8E78A" w:rsidR="00F02E59" w:rsidRPr="00DC34BB" w:rsidRDefault="00F02E59" w:rsidP="001A0BDB">
      <w:pPr>
        <w:pStyle w:val="ListParagraph"/>
        <w:numPr>
          <w:ilvl w:val="0"/>
          <w:numId w:val="20"/>
        </w:numPr>
      </w:pPr>
      <w:r w:rsidRPr="00DC34BB">
        <w:t xml:space="preserve">Discharge – discharge or deposit of waste into the environment should be employed only as a last resort and must meet </w:t>
      </w:r>
      <w:r w:rsidR="00E40823" w:rsidRPr="00DC34BB">
        <w:t>applicable conditions</w:t>
      </w:r>
      <w:r w:rsidR="005E0DCB" w:rsidRPr="00DC34BB">
        <w:t xml:space="preserve">, such as </w:t>
      </w:r>
      <w:r w:rsidR="00AE286A" w:rsidRPr="00DC34BB">
        <w:t>discharge</w:t>
      </w:r>
      <w:r w:rsidR="00DE73BB" w:rsidRPr="00DC34BB">
        <w:t xml:space="preserve"> </w:t>
      </w:r>
      <w:r w:rsidR="00F577C8" w:rsidRPr="00DC34BB">
        <w:t>criteria</w:t>
      </w:r>
      <w:r w:rsidRPr="00DC34BB">
        <w:t>.</w:t>
      </w:r>
    </w:p>
    <w:p w14:paraId="5DA9BB10" w14:textId="029E0B38" w:rsidR="00F02E59" w:rsidRPr="00DC34BB" w:rsidRDefault="0081046F" w:rsidP="00F02E59">
      <w:r w:rsidRPr="00DC34BB">
        <w:t xml:space="preserve">The </w:t>
      </w:r>
      <w:r w:rsidR="00D30E9C" w:rsidRPr="00DC34BB">
        <w:t xml:space="preserve">Guidelines include more information about the </w:t>
      </w:r>
      <w:r w:rsidR="005E0DCB" w:rsidRPr="00DC34BB">
        <w:t>LWBs</w:t>
      </w:r>
      <w:r w:rsidR="00D30E9C" w:rsidRPr="00DC34BB">
        <w:t xml:space="preserve">’ </w:t>
      </w:r>
      <w:r w:rsidR="00AA5DFC" w:rsidRPr="00DC34BB">
        <w:t xml:space="preserve">general </w:t>
      </w:r>
      <w:r w:rsidR="00D30E9C" w:rsidRPr="00DC34BB">
        <w:t xml:space="preserve">expectations for managing different types of waste, and </w:t>
      </w:r>
      <w:r w:rsidR="009C6B46" w:rsidRPr="00DC34BB">
        <w:t xml:space="preserve">a Board </w:t>
      </w:r>
      <w:r w:rsidRPr="00DC34BB">
        <w:t xml:space="preserve">may require </w:t>
      </w:r>
      <w:r w:rsidR="00656F19" w:rsidRPr="00DC34BB">
        <w:t xml:space="preserve">a </w:t>
      </w:r>
      <w:r w:rsidRPr="00DC34BB">
        <w:t>licensee</w:t>
      </w:r>
      <w:r w:rsidR="005E0DCB" w:rsidRPr="00DC34BB">
        <w:t xml:space="preserve"> or permittee</w:t>
      </w:r>
      <w:r w:rsidRPr="00DC34BB">
        <w:t xml:space="preserve"> to use </w:t>
      </w:r>
      <w:r w:rsidR="00D30E9C" w:rsidRPr="00DC34BB">
        <w:t xml:space="preserve">specific </w:t>
      </w:r>
      <w:r w:rsidRPr="00DC34BB">
        <w:t xml:space="preserve">practices that are known to be effective in managing waste and protecting the environment. These requirements may be </w:t>
      </w:r>
      <w:r w:rsidR="00D30E9C" w:rsidRPr="00DC34BB">
        <w:t>specified</w:t>
      </w:r>
      <w:r w:rsidRPr="00DC34BB">
        <w:t xml:space="preserve"> directly in</w:t>
      </w:r>
      <w:r w:rsidR="009C6B46" w:rsidRPr="00DC34BB">
        <w:t xml:space="preserve"> licence</w:t>
      </w:r>
      <w:r w:rsidRPr="00DC34BB">
        <w:t xml:space="preserve"> </w:t>
      </w:r>
      <w:r w:rsidR="005E0DCB" w:rsidRPr="00DC34BB">
        <w:t xml:space="preserve">or </w:t>
      </w:r>
      <w:r w:rsidR="009C6B46" w:rsidRPr="00DC34BB">
        <w:t xml:space="preserve">permit </w:t>
      </w:r>
      <w:r w:rsidRPr="00DC34BB">
        <w:t xml:space="preserve">conditions or </w:t>
      </w:r>
      <w:r w:rsidR="00004AC0" w:rsidRPr="00DC34BB">
        <w:t xml:space="preserve">may be </w:t>
      </w:r>
      <w:r w:rsidRPr="00DC34BB">
        <w:t xml:space="preserve">approved </w:t>
      </w:r>
      <w:r w:rsidR="00004AC0" w:rsidRPr="00DC34BB">
        <w:t>by the Board through the submission of</w:t>
      </w:r>
      <w:r w:rsidRPr="00DC34BB">
        <w:t xml:space="preserve"> plans that describe </w:t>
      </w:r>
      <w:r w:rsidR="007C4FDB" w:rsidRPr="00DC34BB">
        <w:t>the waste management</w:t>
      </w:r>
      <w:r w:rsidRPr="00DC34BB">
        <w:t xml:space="preserve"> practices</w:t>
      </w:r>
      <w:r w:rsidR="007C4FDB" w:rsidRPr="00DC34BB">
        <w:t xml:space="preserve"> for the project</w:t>
      </w:r>
      <w:r w:rsidRPr="00DC34BB">
        <w:t xml:space="preserve"> (see subsection </w:t>
      </w:r>
      <w:r w:rsidR="000D7EEB" w:rsidRPr="00DC34BB">
        <w:t>4</w:t>
      </w:r>
      <w:r w:rsidRPr="00DC34BB">
        <w:t>.</w:t>
      </w:r>
      <w:r w:rsidR="00A75B64" w:rsidRPr="00DC34BB">
        <w:t>2 below</w:t>
      </w:r>
      <w:r w:rsidRPr="00DC34BB">
        <w:t xml:space="preserve">). </w:t>
      </w:r>
      <w:r w:rsidR="00F02E59" w:rsidRPr="00DC34BB">
        <w:t>An example of prescribing a management practice would be a condition stipulating the use of a specific erosion control method known to reduce the amount of sediment that enters water</w:t>
      </w:r>
      <w:r w:rsidR="00AD2AAB" w:rsidRPr="00DC34BB">
        <w:t xml:space="preserve"> or setting a minimum distance between certain activities and watercourses</w:t>
      </w:r>
      <w:r w:rsidR="00F02E59" w:rsidRPr="00DC34BB">
        <w:t xml:space="preserve"> (i.e., source reduction).</w:t>
      </w:r>
      <w:r w:rsidR="00E31317" w:rsidRPr="00DC34BB">
        <w:rPr>
          <w:rStyle w:val="FootnoteReference"/>
        </w:rPr>
        <w:footnoteReference w:id="9"/>
      </w:r>
      <w:r w:rsidR="00F02E59" w:rsidRPr="00DC34BB">
        <w:t xml:space="preserve"> In all cases, the intent of prescribing specific management practices is to achieve the objectives listed in </w:t>
      </w:r>
      <w:hyperlink w:anchor="_Objectives_for_Regulating" w:history="1">
        <w:r w:rsidR="00C01685" w:rsidRPr="00DC34BB">
          <w:rPr>
            <w:rStyle w:val="Hyperlink"/>
          </w:rPr>
          <w:t>section 3</w:t>
        </w:r>
      </w:hyperlink>
      <w:r w:rsidR="00F02E59" w:rsidRPr="00DC34BB">
        <w:t>.</w:t>
      </w:r>
    </w:p>
    <w:p w14:paraId="11BD9497" w14:textId="77747567" w:rsidR="00A75B64" w:rsidRPr="00DC34BB" w:rsidRDefault="00A75B64" w:rsidP="004259C8">
      <w:pPr>
        <w:pStyle w:val="Heading2"/>
      </w:pPr>
      <w:bookmarkStart w:id="51" w:name="_Toc89615536"/>
      <w:commentRangeStart w:id="52"/>
      <w:r w:rsidRPr="00DC34BB">
        <w:t>Management Plans</w:t>
      </w:r>
      <w:bookmarkEnd w:id="51"/>
      <w:commentRangeEnd w:id="52"/>
      <w:r w:rsidR="00C81212" w:rsidRPr="00DC34BB">
        <w:rPr>
          <w:rStyle w:val="CommentReference"/>
          <w:rFonts w:eastAsiaTheme="minorHAnsi" w:cstheme="minorBidi"/>
          <w:b w:val="0"/>
        </w:rPr>
        <w:commentReference w:id="52"/>
      </w:r>
    </w:p>
    <w:p w14:paraId="6D8487B6" w14:textId="62E3623F" w:rsidR="007A31A5" w:rsidRPr="00DC34BB" w:rsidRDefault="00A75B64" w:rsidP="00A75B64">
      <w:r w:rsidRPr="00DC34BB">
        <w:t xml:space="preserve">All applicants must </w:t>
      </w:r>
      <w:r w:rsidR="006C4048" w:rsidRPr="00DC34BB">
        <w:t xml:space="preserve">submit </w:t>
      </w:r>
      <w:r w:rsidR="001C7109" w:rsidRPr="00DC34BB">
        <w:t>waste management, spill contingency, and closure and reclamation planning information.</w:t>
      </w:r>
      <w:r w:rsidR="00773907" w:rsidRPr="00DC34BB">
        <w:rPr>
          <w:rStyle w:val="FootnoteReference"/>
        </w:rPr>
        <w:footnoteReference w:id="10"/>
      </w:r>
      <w:r w:rsidR="001C7109" w:rsidRPr="00DC34BB">
        <w:t xml:space="preserve"> For most applicants, </w:t>
      </w:r>
      <w:r w:rsidR="003154CF" w:rsidRPr="00DC34BB">
        <w:t xml:space="preserve">this </w:t>
      </w:r>
      <w:r w:rsidR="00301FD9" w:rsidRPr="00DC34BB">
        <w:t>information must</w:t>
      </w:r>
      <w:r w:rsidR="003154CF" w:rsidRPr="00DC34BB">
        <w:t xml:space="preserve"> be provided in the form of </w:t>
      </w:r>
      <w:r w:rsidR="009C6B46" w:rsidRPr="00DC34BB">
        <w:t>management plans developed in accordance with applicable guidelines</w:t>
      </w:r>
      <w:r w:rsidR="00C30972" w:rsidRPr="00DC34BB">
        <w:t>.</w:t>
      </w:r>
      <w:r w:rsidR="00A00C07" w:rsidRPr="00DC34BB">
        <w:rPr>
          <w:rStyle w:val="FootnoteReference"/>
        </w:rPr>
        <w:footnoteReference w:id="11"/>
      </w:r>
      <w:r w:rsidR="00C30972" w:rsidRPr="00DC34BB">
        <w:t xml:space="preserve"> </w:t>
      </w:r>
      <w:r w:rsidR="000F4E77" w:rsidRPr="00DC34BB">
        <w:t xml:space="preserve">Municipal applicants </w:t>
      </w:r>
      <w:r w:rsidR="008A27EC" w:rsidRPr="00DC34BB">
        <w:t xml:space="preserve">will provide this information in </w:t>
      </w:r>
      <w:r w:rsidR="00D37726" w:rsidRPr="00DC34BB">
        <w:t>o</w:t>
      </w:r>
      <w:r w:rsidR="009F4B42" w:rsidRPr="00DC34BB">
        <w:t xml:space="preserve">perations and </w:t>
      </w:r>
      <w:r w:rsidR="00D37726" w:rsidRPr="00DC34BB">
        <w:t>m</w:t>
      </w:r>
      <w:r w:rsidR="009F4B42" w:rsidRPr="00DC34BB">
        <w:t xml:space="preserve">aintenance </w:t>
      </w:r>
      <w:r w:rsidR="00D37726" w:rsidRPr="00DC34BB">
        <w:t>p</w:t>
      </w:r>
      <w:r w:rsidR="009F4B42" w:rsidRPr="00DC34BB">
        <w:t>lans</w:t>
      </w:r>
      <w:r w:rsidR="005C37B5" w:rsidRPr="00DC34BB">
        <w:t xml:space="preserve">. </w:t>
      </w:r>
    </w:p>
    <w:p w14:paraId="55EBBBB7" w14:textId="743812A1" w:rsidR="003612E9" w:rsidRPr="00DC34BB" w:rsidRDefault="00AA414F" w:rsidP="00A75B64">
      <w:r w:rsidRPr="00DC34BB">
        <w:t>In</w:t>
      </w:r>
      <w:r w:rsidR="00DF76D3" w:rsidRPr="00DC34BB">
        <w:t xml:space="preserve"> </w:t>
      </w:r>
      <w:r w:rsidR="00BD28F6" w:rsidRPr="00DC34BB">
        <w:t xml:space="preserve">addition to the above, </w:t>
      </w:r>
      <w:r w:rsidR="00DF76D3" w:rsidRPr="00DC34BB">
        <w:t>d</w:t>
      </w:r>
      <w:r w:rsidR="00597B44" w:rsidRPr="00DC34BB">
        <w:t>epending on the types of waste, the potential environmental effects, and the proposed mitigation measures, other management</w:t>
      </w:r>
      <w:r w:rsidR="00A75B64" w:rsidRPr="00DC34BB">
        <w:t xml:space="preserve"> plans</w:t>
      </w:r>
      <w:r w:rsidR="00AC6B1A" w:rsidRPr="00DC34BB">
        <w:t>, design and construction plans,</w:t>
      </w:r>
      <w:r w:rsidR="00A75B64" w:rsidRPr="00DC34BB">
        <w:t xml:space="preserve"> </w:t>
      </w:r>
      <w:r w:rsidR="00597B44" w:rsidRPr="00DC34BB">
        <w:t xml:space="preserve">and/or </w:t>
      </w:r>
      <w:r w:rsidR="00597B44" w:rsidRPr="00DC34BB">
        <w:lastRenderedPageBreak/>
        <w:t xml:space="preserve">operations and maintenance </w:t>
      </w:r>
      <w:r w:rsidR="00803970" w:rsidRPr="00DC34BB">
        <w:t>plans</w:t>
      </w:r>
      <w:r w:rsidR="00597B44" w:rsidRPr="00DC34BB">
        <w:t xml:space="preserve"> </w:t>
      </w:r>
      <w:r w:rsidR="00A75B64" w:rsidRPr="00DC34BB">
        <w:t xml:space="preserve">may </w:t>
      </w:r>
      <w:r w:rsidR="004D172A" w:rsidRPr="00DC34BB">
        <w:t xml:space="preserve">also </w:t>
      </w:r>
      <w:r w:rsidR="00A75B64" w:rsidRPr="00DC34BB">
        <w:t xml:space="preserve">be </w:t>
      </w:r>
      <w:commentRangeStart w:id="53"/>
      <w:r w:rsidR="00A75B64" w:rsidRPr="00DC34BB">
        <w:t xml:space="preserve">required </w:t>
      </w:r>
      <w:r w:rsidR="00501669" w:rsidRPr="00DC34BB">
        <w:t xml:space="preserve">in a </w:t>
      </w:r>
      <w:r w:rsidR="00B41481" w:rsidRPr="00DC34BB">
        <w:t xml:space="preserve">licence </w:t>
      </w:r>
      <w:r w:rsidR="00501669" w:rsidRPr="00DC34BB">
        <w:t>application</w:t>
      </w:r>
      <w:r w:rsidR="001E7EF0" w:rsidRPr="00DC34BB">
        <w:t>,</w:t>
      </w:r>
      <w:r w:rsidR="00501669" w:rsidRPr="00DC34BB">
        <w:t xml:space="preserve"> </w:t>
      </w:r>
      <w:r w:rsidR="00974E9C" w:rsidRPr="00DC34BB">
        <w:t>and/</w:t>
      </w:r>
      <w:r w:rsidR="00501669" w:rsidRPr="00DC34BB">
        <w:t>or through licence conditions</w:t>
      </w:r>
      <w:r w:rsidR="001E7EF0" w:rsidRPr="00DC34BB">
        <w:t>,</w:t>
      </w:r>
      <w:r w:rsidR="00501669" w:rsidRPr="00DC34BB">
        <w:t xml:space="preserve"> </w:t>
      </w:r>
      <w:r w:rsidR="004D172A" w:rsidRPr="00DC34BB">
        <w:t>to de</w:t>
      </w:r>
      <w:r w:rsidR="00AC6B1A" w:rsidRPr="00DC34BB">
        <w:t>tail</w:t>
      </w:r>
      <w:r w:rsidR="004D172A" w:rsidRPr="00DC34BB">
        <w:t xml:space="preserve"> how specific types of waste will be managed</w:t>
      </w:r>
      <w:r w:rsidR="00597B44" w:rsidRPr="00DC34BB">
        <w:t xml:space="preserve"> for a project</w:t>
      </w:r>
      <w:commentRangeEnd w:id="53"/>
      <w:r w:rsidR="00360AB4" w:rsidRPr="00DC34BB">
        <w:rPr>
          <w:rStyle w:val="CommentReference"/>
        </w:rPr>
        <w:commentReference w:id="53"/>
      </w:r>
      <w:r w:rsidR="004D172A" w:rsidRPr="00DC34BB">
        <w:t>.</w:t>
      </w:r>
      <w:r w:rsidR="00597B44" w:rsidRPr="00DC34BB">
        <w:t xml:space="preserve"> </w:t>
      </w:r>
    </w:p>
    <w:p w14:paraId="7982D469" w14:textId="7A2DF93D" w:rsidR="00F83385" w:rsidRPr="00DC34BB" w:rsidRDefault="00A75B64" w:rsidP="00A75B64">
      <w:r w:rsidRPr="00DC34BB">
        <w:t>The</w:t>
      </w:r>
      <w:r w:rsidR="004D172A" w:rsidRPr="00DC34BB">
        <w:t>se</w:t>
      </w:r>
      <w:r w:rsidRPr="00DC34BB">
        <w:t xml:space="preserve"> plans will detail how certain aspects of the waste prevention/minimization hierarchy (e.g., source control, reuse/recycle, treatment</w:t>
      </w:r>
      <w:r w:rsidR="007B30B8" w:rsidRPr="00DC34BB">
        <w:t>, and/or discharge</w:t>
      </w:r>
      <w:r w:rsidRPr="00DC34BB">
        <w:t xml:space="preserve"> of waste) or other environmental protection methods will be implemented. </w:t>
      </w:r>
      <w:r w:rsidR="00E26892" w:rsidRPr="00DC34BB">
        <w:t xml:space="preserve">In accordance with the applicable guidelines or the </w:t>
      </w:r>
      <w:r w:rsidR="00DB48D7" w:rsidRPr="00DC34BB">
        <w:t>LWBs</w:t>
      </w:r>
      <w:r w:rsidR="00B925EE" w:rsidRPr="00DC34BB">
        <w:t xml:space="preserve">’ </w:t>
      </w:r>
      <w:hyperlink r:id="rId44" w:history="1">
        <w:r w:rsidR="00815464" w:rsidRPr="00DC34BB">
          <w:rPr>
            <w:rStyle w:val="Hyperlink"/>
            <w:i/>
            <w:iCs/>
          </w:rPr>
          <w:t>Standard Outline for Management Plans</w:t>
        </w:r>
      </w:hyperlink>
      <w:r w:rsidR="00815464" w:rsidRPr="00DC34BB">
        <w:t>,</w:t>
      </w:r>
      <w:r w:rsidR="004B0ECA" w:rsidRPr="00DC34BB">
        <w:t xml:space="preserve"> and as described in </w:t>
      </w:r>
      <w:r w:rsidR="00230E1F" w:rsidRPr="00DC34BB">
        <w:t xml:space="preserve">sections 4.3 to 4.5 below, </w:t>
      </w:r>
      <w:r w:rsidR="006072B4" w:rsidRPr="00DC34BB">
        <w:t>some</w:t>
      </w:r>
      <w:r w:rsidR="002E3A52" w:rsidRPr="00DC34BB">
        <w:t xml:space="preserve"> plans may also need to </w:t>
      </w:r>
      <w:r w:rsidR="006072B4" w:rsidRPr="00DC34BB">
        <w:t>describe</w:t>
      </w:r>
      <w:r w:rsidR="002E3A52" w:rsidRPr="00DC34BB">
        <w:t xml:space="preserve"> </w:t>
      </w:r>
      <w:r w:rsidR="00116B72" w:rsidRPr="00DC34BB">
        <w:t xml:space="preserve">criteria, monitoring, and </w:t>
      </w:r>
      <w:r w:rsidR="00605A0B" w:rsidRPr="00DC34BB">
        <w:t>adaptive management</w:t>
      </w:r>
      <w:r w:rsidR="006072B4" w:rsidRPr="00DC34BB">
        <w:t>.</w:t>
      </w:r>
    </w:p>
    <w:p w14:paraId="3DBB0A63" w14:textId="02D758E0" w:rsidR="00A75B64" w:rsidRPr="00DC34BB" w:rsidRDefault="00F224F3" w:rsidP="00A75B64">
      <w:r w:rsidRPr="00DC34BB">
        <w:t>T</w:t>
      </w:r>
      <w:r w:rsidR="00F83385" w:rsidRPr="00DC34BB">
        <w:t xml:space="preserve">he Board will set out </w:t>
      </w:r>
      <w:r w:rsidR="00DB4025" w:rsidRPr="00DC34BB">
        <w:t xml:space="preserve">any </w:t>
      </w:r>
      <w:r w:rsidR="00F83385" w:rsidRPr="00DC34BB">
        <w:t xml:space="preserve">plan requirements for a </w:t>
      </w:r>
      <w:r w:rsidRPr="00DC34BB">
        <w:t xml:space="preserve">project </w:t>
      </w:r>
      <w:r w:rsidR="00F83385" w:rsidRPr="00DC34BB">
        <w:t>in the</w:t>
      </w:r>
      <w:r w:rsidR="00584840" w:rsidRPr="00DC34BB">
        <w:t xml:space="preserve"> </w:t>
      </w:r>
      <w:r w:rsidR="00F83385" w:rsidRPr="00DC34BB">
        <w:t xml:space="preserve">licence </w:t>
      </w:r>
      <w:r w:rsidR="00286DBF" w:rsidRPr="00DC34BB">
        <w:t>and</w:t>
      </w:r>
      <w:r w:rsidR="008667EA" w:rsidRPr="00DC34BB">
        <w:t>/or</w:t>
      </w:r>
      <w:r w:rsidR="00286DBF" w:rsidRPr="00DC34BB">
        <w:t xml:space="preserve"> </w:t>
      </w:r>
      <w:r w:rsidR="00B41481" w:rsidRPr="00DC34BB">
        <w:t xml:space="preserve">permit </w:t>
      </w:r>
      <w:r w:rsidR="00F83385" w:rsidRPr="00DC34BB">
        <w:t>conditions.</w:t>
      </w:r>
      <w:commentRangeStart w:id="54"/>
      <w:r w:rsidR="007107AD" w:rsidRPr="00DC34BB">
        <w:rPr>
          <w:rStyle w:val="FootnoteReference"/>
        </w:rPr>
        <w:footnoteReference w:id="12"/>
      </w:r>
      <w:r w:rsidR="00F83385" w:rsidRPr="00DC34BB">
        <w:t xml:space="preserve"> </w:t>
      </w:r>
      <w:commentRangeEnd w:id="54"/>
      <w:r w:rsidR="009828D8" w:rsidRPr="00DC34BB">
        <w:rPr>
          <w:rStyle w:val="CommentReference"/>
        </w:rPr>
        <w:commentReference w:id="54"/>
      </w:r>
      <w:r w:rsidR="00A75B64" w:rsidRPr="00DC34BB">
        <w:t xml:space="preserve">In general, </w:t>
      </w:r>
      <w:r w:rsidR="00F83385" w:rsidRPr="00DC34BB">
        <w:t xml:space="preserve">these </w:t>
      </w:r>
      <w:r w:rsidR="00A75B64" w:rsidRPr="00DC34BB">
        <w:t xml:space="preserve">plans will </w:t>
      </w:r>
      <w:r w:rsidR="00F2146D" w:rsidRPr="00DC34BB">
        <w:t>typically</w:t>
      </w:r>
      <w:r w:rsidR="00AC6B1A" w:rsidRPr="00DC34BB">
        <w:t xml:space="preserve"> </w:t>
      </w:r>
      <w:r w:rsidR="00A75B64" w:rsidRPr="00DC34BB">
        <w:t>require Board approval</w:t>
      </w:r>
      <w:r w:rsidR="00F83385" w:rsidRPr="00DC34BB">
        <w:t xml:space="preserve">, which will usually entail a public review, </w:t>
      </w:r>
      <w:r w:rsidR="00A75B64" w:rsidRPr="00DC34BB">
        <w:t xml:space="preserve">prior to implementation </w:t>
      </w:r>
      <w:r w:rsidR="00BD28F6" w:rsidRPr="00DC34BB">
        <w:t>of</w:t>
      </w:r>
      <w:r w:rsidR="00A75B64" w:rsidRPr="00DC34BB">
        <w:t xml:space="preserve"> the </w:t>
      </w:r>
      <w:r w:rsidR="00BD28F6" w:rsidRPr="00DC34BB">
        <w:t>plan</w:t>
      </w:r>
      <w:r w:rsidR="00A75B64" w:rsidRPr="00DC34BB">
        <w:t xml:space="preserve">. </w:t>
      </w:r>
      <w:r w:rsidR="00AC6B1A" w:rsidRPr="00DC34BB">
        <w:t xml:space="preserve">The licensee </w:t>
      </w:r>
      <w:r w:rsidR="008667EA" w:rsidRPr="00DC34BB">
        <w:t>or permittee</w:t>
      </w:r>
      <w:r w:rsidR="00AC6B1A" w:rsidRPr="00DC34BB">
        <w:t xml:space="preserve"> will be expected to review and revise these plans over the life of the project as set out in the conditions.</w:t>
      </w:r>
    </w:p>
    <w:p w14:paraId="1F065E69" w14:textId="1F39E398" w:rsidR="004259C8" w:rsidRPr="00DC34BB" w:rsidRDefault="00B217BB" w:rsidP="004259C8">
      <w:pPr>
        <w:pStyle w:val="Heading2"/>
      </w:pPr>
      <w:bookmarkStart w:id="55" w:name="_Toc89615537"/>
      <w:r w:rsidRPr="00DC34BB">
        <w:t>Discharge Criteria</w:t>
      </w:r>
      <w:commentRangeStart w:id="56"/>
      <w:commentRangeEnd w:id="56"/>
      <w:r w:rsidR="006C0505" w:rsidRPr="00DC34BB">
        <w:rPr>
          <w:rStyle w:val="CommentReference"/>
          <w:rFonts w:eastAsiaTheme="minorHAnsi" w:cstheme="minorBidi"/>
          <w:b w:val="0"/>
        </w:rPr>
        <w:commentReference w:id="56"/>
      </w:r>
      <w:r w:rsidR="00E07752" w:rsidRPr="00DC34BB">
        <w:t xml:space="preserve"> in </w:t>
      </w:r>
      <w:r w:rsidR="00B41481" w:rsidRPr="00DC34BB">
        <w:t>Licence</w:t>
      </w:r>
      <w:r w:rsidR="00E07752" w:rsidRPr="00DC34BB">
        <w:t>s</w:t>
      </w:r>
      <w:bookmarkEnd w:id="55"/>
    </w:p>
    <w:p w14:paraId="73F3FF61" w14:textId="301AAFF5" w:rsidR="006D5862" w:rsidRPr="00DC34BB" w:rsidRDefault="00F02E59" w:rsidP="00F02E59">
      <w:r w:rsidRPr="00DC34BB">
        <w:t>Once all reasonable measures have been taken to limit the amount of waste</w:t>
      </w:r>
      <w:r w:rsidR="00656F19" w:rsidRPr="00DC34BB">
        <w:t xml:space="preserve"> that will be deposited or discharged to the receiving environment</w:t>
      </w:r>
      <w:r w:rsidRPr="00DC34BB">
        <w:t xml:space="preserve">, concerns </w:t>
      </w:r>
      <w:r w:rsidR="00656F19" w:rsidRPr="00DC34BB">
        <w:t>will often</w:t>
      </w:r>
      <w:r w:rsidRPr="00DC34BB">
        <w:t xml:space="preserve"> exist about the quantity, concentration, and type of waste </w:t>
      </w:r>
      <w:r w:rsidR="00AA5DFC" w:rsidRPr="00DC34BB">
        <w:t xml:space="preserve">an applicant is proposing to discharge </w:t>
      </w:r>
      <w:r w:rsidR="006162A9" w:rsidRPr="00DC34BB">
        <w:t xml:space="preserve">directly or indirectly </w:t>
      </w:r>
      <w:r w:rsidR="00AA5DFC" w:rsidRPr="00DC34BB">
        <w:t>to the receiving environment</w:t>
      </w:r>
      <w:r w:rsidR="005402EB" w:rsidRPr="00DC34BB">
        <w:t xml:space="preserve">. </w:t>
      </w:r>
      <w:r w:rsidR="00656F19" w:rsidRPr="00DC34BB">
        <w:t>I</w:t>
      </w:r>
      <w:r w:rsidRPr="00DC34BB">
        <w:t>n these cases</w:t>
      </w:r>
      <w:r w:rsidR="00656F19" w:rsidRPr="00DC34BB">
        <w:t>,</w:t>
      </w:r>
      <w:r w:rsidRPr="00DC34BB">
        <w:t xml:space="preserve"> the Board will set </w:t>
      </w:r>
      <w:commentRangeStart w:id="57"/>
      <w:r w:rsidR="004447AD" w:rsidRPr="00DC34BB">
        <w:t>discharge criteria</w:t>
      </w:r>
      <w:r w:rsidR="00D75475" w:rsidRPr="00DC34BB">
        <w:t>,</w:t>
      </w:r>
      <w:r w:rsidR="004447AD" w:rsidRPr="00DC34BB">
        <w:t xml:space="preserve"> </w:t>
      </w:r>
      <w:r w:rsidR="00D75475" w:rsidRPr="00DC34BB">
        <w:t>such as maxim</w:t>
      </w:r>
      <w:r w:rsidR="00AC6B1A" w:rsidRPr="00DC34BB">
        <w:t>um discharge rates and</w:t>
      </w:r>
      <w:r w:rsidR="00C376DB" w:rsidRPr="00DC34BB">
        <w:t>/or</w:t>
      </w:r>
      <w:r w:rsidR="00AC6B1A" w:rsidRPr="00DC34BB">
        <w:t xml:space="preserve"> volumes, </w:t>
      </w:r>
      <w:r w:rsidR="00D25FD2" w:rsidRPr="00DC34BB">
        <w:t xml:space="preserve">(effluent quality criteria) </w:t>
      </w:r>
      <w:r w:rsidR="00BB0B33" w:rsidRPr="00DC34BB">
        <w:t>EQC</w:t>
      </w:r>
      <w:r w:rsidR="00E806A6" w:rsidRPr="00DC34BB">
        <w:t xml:space="preserve">, and/or </w:t>
      </w:r>
      <w:r w:rsidR="00F25010" w:rsidRPr="00DC34BB">
        <w:t>other</w:t>
      </w:r>
      <w:r w:rsidRPr="00DC34BB">
        <w:t xml:space="preserve"> </w:t>
      </w:r>
      <w:r w:rsidR="00101BD5" w:rsidRPr="00DC34BB">
        <w:t xml:space="preserve">discharge </w:t>
      </w:r>
      <w:r w:rsidR="007558C3" w:rsidRPr="00DC34BB">
        <w:t>requirements</w:t>
      </w:r>
      <w:r w:rsidR="00D75475" w:rsidRPr="00DC34BB">
        <w:t>,</w:t>
      </w:r>
      <w:r w:rsidR="00BB0B33" w:rsidRPr="00DC34BB">
        <w:t xml:space="preserve"> </w:t>
      </w:r>
      <w:commentRangeEnd w:id="57"/>
      <w:r w:rsidR="00D80E06" w:rsidRPr="00DC34BB">
        <w:rPr>
          <w:rStyle w:val="CommentReference"/>
        </w:rPr>
        <w:commentReference w:id="57"/>
      </w:r>
      <w:r w:rsidRPr="00DC34BB">
        <w:t>in the licence</w:t>
      </w:r>
      <w:commentRangeStart w:id="58"/>
      <w:r w:rsidRPr="00DC34BB">
        <w:t xml:space="preserve">. </w:t>
      </w:r>
      <w:r w:rsidR="00F25010" w:rsidRPr="00DC34BB">
        <w:t xml:space="preserve">In some cases, </w:t>
      </w:r>
      <w:r w:rsidR="00360AB4" w:rsidRPr="00DC34BB">
        <w:t xml:space="preserve">for non-point source effluent, </w:t>
      </w:r>
      <w:r w:rsidR="004A084F" w:rsidRPr="00DC34BB">
        <w:t>discharge criteria</w:t>
      </w:r>
      <w:r w:rsidR="00561934" w:rsidRPr="00DC34BB">
        <w:t xml:space="preserve"> may be </w:t>
      </w:r>
      <w:r w:rsidR="00D03F6C" w:rsidRPr="00DC34BB">
        <w:t>established in a plan</w:t>
      </w:r>
      <w:r w:rsidR="00737B6C" w:rsidRPr="00DC34BB">
        <w:t xml:space="preserve"> submitted for Board approval</w:t>
      </w:r>
      <w:r w:rsidR="00303322" w:rsidRPr="00DC34BB">
        <w:t xml:space="preserve"> rather than </w:t>
      </w:r>
      <w:r w:rsidR="00DC1F68" w:rsidRPr="00DC34BB">
        <w:t xml:space="preserve">directly through </w:t>
      </w:r>
      <w:r w:rsidR="00303322" w:rsidRPr="00DC34BB">
        <w:t xml:space="preserve">a licence condition. </w:t>
      </w:r>
      <w:commentRangeEnd w:id="58"/>
      <w:r w:rsidR="006C0505" w:rsidRPr="00DC34BB">
        <w:rPr>
          <w:rStyle w:val="CommentReference"/>
        </w:rPr>
        <w:commentReference w:id="58"/>
      </w:r>
      <w:r w:rsidR="007C32CE" w:rsidRPr="00DC34BB">
        <w:t xml:space="preserve"> </w:t>
      </w:r>
    </w:p>
    <w:p w14:paraId="4B193963" w14:textId="6807AC4D" w:rsidR="00E923E8" w:rsidRDefault="00E923E8" w:rsidP="00F02E59">
      <w:commentRangeStart w:id="59"/>
      <w:r w:rsidRPr="00DC34BB">
        <w:t xml:space="preserve">Where applicable, the licence will set out the specific locations where discharge criteria must be met. EQC, for example, will apply at specific monitoring locations. For point-source discharge, this will usually be at the final discharge point, where the licensee can still control the discharge to receiving environment if discharge criteria aren’t met. For non-point source discharge, this may be at one or more locations where runoff, seepage, groundwater, etc. is monitored. </w:t>
      </w:r>
    </w:p>
    <w:p w14:paraId="5EFA6DE3" w14:textId="77777777" w:rsidR="0014398F" w:rsidRPr="00F46EFE" w:rsidRDefault="0014398F" w:rsidP="0014398F">
      <w:r w:rsidRPr="00F46EFE">
        <w:t xml:space="preserve">In all cases, the licensee must ensure that the waste discharged meets all discharge criteria at any specified locations to remain in compliance with the licence. If applicable, licence conditions or plans will set out monitoring requirements and response frameworks associated with these criteria (see sections </w:t>
      </w:r>
      <w:hyperlink w:anchor="_Monitoring_Requirements" w:history="1">
        <w:r w:rsidRPr="00F46EFE">
          <w:rPr>
            <w:rStyle w:val="Hyperlink"/>
          </w:rPr>
          <w:t>4.4</w:t>
        </w:r>
      </w:hyperlink>
      <w:r w:rsidRPr="00F46EFE">
        <w:t xml:space="preserve"> and </w:t>
      </w:r>
      <w:hyperlink w:anchor="_Adaptive_Management" w:history="1">
        <w:r w:rsidRPr="00F46EFE">
          <w:rPr>
            <w:rStyle w:val="Hyperlink"/>
          </w:rPr>
          <w:t>4.5</w:t>
        </w:r>
      </w:hyperlink>
      <w:r w:rsidRPr="00F46EFE">
        <w:t>, respectively).</w:t>
      </w:r>
      <w:commentRangeEnd w:id="59"/>
      <w:r w:rsidR="00551060">
        <w:rPr>
          <w:rStyle w:val="CommentReference"/>
        </w:rPr>
        <w:commentReference w:id="59"/>
      </w:r>
    </w:p>
    <w:p w14:paraId="7D11A58F" w14:textId="2B0EDC37" w:rsidR="007307DB" w:rsidRPr="00DC34BB" w:rsidRDefault="0022173D" w:rsidP="00F02E59">
      <w:commentRangeStart w:id="60"/>
      <w:r w:rsidRPr="00DC34BB">
        <w:t xml:space="preserve">When a proposed project includes </w:t>
      </w:r>
      <w:r w:rsidR="005C2783" w:rsidRPr="00DC34BB">
        <w:t xml:space="preserve">the </w:t>
      </w:r>
      <w:r w:rsidR="001B630F" w:rsidRPr="00DC34BB">
        <w:t xml:space="preserve">direct or indirect </w:t>
      </w:r>
      <w:r w:rsidR="005C2783" w:rsidRPr="00DC34BB">
        <w:t xml:space="preserve">discharge of </w:t>
      </w:r>
      <w:r w:rsidR="00B82A99">
        <w:t>waste</w:t>
      </w:r>
      <w:r w:rsidR="005C2783" w:rsidRPr="00DC34BB">
        <w:t xml:space="preserve"> to the aquati</w:t>
      </w:r>
      <w:r w:rsidR="001B630F" w:rsidRPr="00DC34BB">
        <w:t xml:space="preserve">c receiving environment </w:t>
      </w:r>
      <w:r w:rsidR="005512DF" w:rsidRPr="00DC34BB">
        <w:t>from a point or non-point source</w:t>
      </w:r>
      <w:r w:rsidR="008520FF" w:rsidRPr="00DC34BB">
        <w:t xml:space="preserve">, </w:t>
      </w:r>
      <w:r w:rsidR="007C32CE" w:rsidRPr="00DC34BB">
        <w:t>the Board</w:t>
      </w:r>
      <w:r w:rsidR="005C1A4C" w:rsidRPr="00DC34BB">
        <w:t xml:space="preserve"> will</w:t>
      </w:r>
      <w:r w:rsidR="007C32CE" w:rsidRPr="00DC34BB">
        <w:t xml:space="preserve"> </w:t>
      </w:r>
      <w:r w:rsidR="008520FF" w:rsidRPr="00DC34BB">
        <w:t>often need to</w:t>
      </w:r>
      <w:r w:rsidR="007C32CE" w:rsidRPr="00DC34BB">
        <w:t xml:space="preserve"> determine </w:t>
      </w:r>
      <w:r w:rsidR="00B82A99">
        <w:t>water quality objectives (</w:t>
      </w:r>
      <w:r w:rsidR="00AE286A" w:rsidRPr="00DC34BB">
        <w:t>WQOs</w:t>
      </w:r>
      <w:r w:rsidR="00B82A99">
        <w:t>)</w:t>
      </w:r>
      <w:r w:rsidR="007C32CE" w:rsidRPr="00DC34BB">
        <w:t xml:space="preserve"> for the receiving environment</w:t>
      </w:r>
      <w:r w:rsidRPr="00DC34BB">
        <w:t xml:space="preserve"> in order to establish appropriate discharge criteria</w:t>
      </w:r>
      <w:r w:rsidR="007C32CE" w:rsidRPr="00DC34BB">
        <w:t xml:space="preserve">. </w:t>
      </w:r>
      <w:r w:rsidR="007307DB" w:rsidRPr="00DC34BB">
        <w:t xml:space="preserve">At a minimum, </w:t>
      </w:r>
      <w:r w:rsidR="002804EB">
        <w:t xml:space="preserve">any </w:t>
      </w:r>
      <w:r w:rsidR="007307DB" w:rsidRPr="00DC34BB">
        <w:t xml:space="preserve">discharge criteria for a project must be set at levels that will ensure WQOs for the receiving environment will be met. </w:t>
      </w:r>
      <w:r w:rsidR="00B62C56" w:rsidRPr="00DC34BB">
        <w:t xml:space="preserve">The WQOs for a project, the locations at which WQOs are expected to be met, </w:t>
      </w:r>
      <w:r w:rsidR="00B62C56" w:rsidRPr="00DC34BB">
        <w:lastRenderedPageBreak/>
        <w:t>and linkages between the WQOs and discharge criteria in the licence will typically be explained in the Board’s reasons for decision but will not usually be set out directly in the licence.</w:t>
      </w:r>
      <w:commentRangeEnd w:id="60"/>
      <w:r w:rsidR="00571B9F" w:rsidRPr="00DC34BB">
        <w:rPr>
          <w:rStyle w:val="CommentReference"/>
        </w:rPr>
        <w:commentReference w:id="60"/>
      </w:r>
    </w:p>
    <w:p w14:paraId="759067BB" w14:textId="60218F12" w:rsidR="006D5862" w:rsidRPr="00DC34BB" w:rsidRDefault="00DD3027" w:rsidP="00F02E59">
      <w:r w:rsidRPr="00DC34BB">
        <w:t xml:space="preserve">As no pre-defined water quality standards have been established for watercourses in the NWT, the level of water quality to be maintained in the receiving environment has been, and will continue to be, decided on a site-specific basis to protect water uses. </w:t>
      </w:r>
      <w:hyperlink w:anchor="_Information_Required_to" w:history="1">
        <w:r w:rsidRPr="00DC34BB">
          <w:rPr>
            <w:rStyle w:val="Hyperlink"/>
          </w:rPr>
          <w:t>Section 5</w:t>
        </w:r>
      </w:hyperlink>
      <w:r w:rsidRPr="00DC34BB" w:rsidDel="005645A1">
        <w:t xml:space="preserve"> </w:t>
      </w:r>
      <w:r w:rsidRPr="00DC34BB">
        <w:t xml:space="preserve">outlines the information the </w:t>
      </w:r>
      <w:r w:rsidR="009339C3" w:rsidRPr="00DC34BB">
        <w:t>LWBs</w:t>
      </w:r>
      <w:r w:rsidRPr="00DC34BB">
        <w:t xml:space="preserve"> will consider when setting site-specific </w:t>
      </w:r>
      <w:r w:rsidR="00C309D3" w:rsidRPr="00DC34BB">
        <w:t>WQOs</w:t>
      </w:r>
      <w:r w:rsidR="00814A3A" w:rsidRPr="00DC34BB">
        <w:t xml:space="preserve">, </w:t>
      </w:r>
      <w:commentRangeStart w:id="61"/>
      <w:r w:rsidR="00267743" w:rsidRPr="00DC34BB">
        <w:t xml:space="preserve">whether narrative or numeric, </w:t>
      </w:r>
      <w:commentRangeEnd w:id="61"/>
      <w:r w:rsidR="00546B4B" w:rsidRPr="00DC34BB">
        <w:rPr>
          <w:rStyle w:val="CommentReference"/>
        </w:rPr>
        <w:commentReference w:id="61"/>
      </w:r>
      <w:r w:rsidR="00814A3A" w:rsidRPr="00DC34BB">
        <w:t xml:space="preserve">and the </w:t>
      </w:r>
      <w:r w:rsidR="002B529D" w:rsidRPr="00DC34BB">
        <w:t xml:space="preserve">LWBs’ </w:t>
      </w:r>
      <w:r w:rsidR="00C46392" w:rsidRPr="00DC34BB">
        <w:rPr>
          <w:i/>
          <w:iCs/>
        </w:rPr>
        <w:t>Standard Process</w:t>
      </w:r>
      <w:r w:rsidR="00CF39FE" w:rsidRPr="00DC34BB">
        <w:rPr>
          <w:i/>
          <w:iCs/>
        </w:rPr>
        <w:t xml:space="preserve"> for Setting Effluent Quality Criteria</w:t>
      </w:r>
      <w:r w:rsidR="00814A3A" w:rsidRPr="00DC34BB">
        <w:t xml:space="preserve"> summarizes the </w:t>
      </w:r>
      <w:r w:rsidR="009339C3" w:rsidRPr="00DC34BB">
        <w:t>LWBs’</w:t>
      </w:r>
      <w:r w:rsidR="00814A3A" w:rsidRPr="00DC34BB">
        <w:t xml:space="preserve"> </w:t>
      </w:r>
      <w:r w:rsidR="00CB509E" w:rsidRPr="00DC34BB">
        <w:t>information requirements and</w:t>
      </w:r>
      <w:r w:rsidR="00814A3A" w:rsidRPr="00DC34BB">
        <w:t xml:space="preserve"> standard process fo</w:t>
      </w:r>
      <w:r w:rsidR="00BB120E" w:rsidRPr="00DC34BB">
        <w:t xml:space="preserve">r establishing </w:t>
      </w:r>
      <w:r w:rsidR="00F931AA" w:rsidRPr="00DC34BB">
        <w:t>numeri</w:t>
      </w:r>
      <w:r w:rsidR="0017168A" w:rsidRPr="00DC34BB">
        <w:t xml:space="preserve">c </w:t>
      </w:r>
      <w:r w:rsidR="00C309D3" w:rsidRPr="00DC34BB">
        <w:t>WQOs</w:t>
      </w:r>
      <w:r w:rsidR="00BB120E" w:rsidRPr="00DC34BB">
        <w:t xml:space="preserve"> and related EQC</w:t>
      </w:r>
      <w:r w:rsidR="00822040">
        <w:t xml:space="preserve"> when appropriate</w:t>
      </w:r>
      <w:r w:rsidRPr="00DC34BB">
        <w:t>.</w:t>
      </w:r>
      <w:r w:rsidR="00BB120E" w:rsidRPr="00DC34BB">
        <w:t xml:space="preserve"> </w:t>
      </w:r>
      <w:commentRangeStart w:id="62"/>
      <w:r w:rsidR="00BB120E" w:rsidRPr="00DC34BB">
        <w:t>While th</w:t>
      </w:r>
      <w:r w:rsidR="00287648">
        <w:t>is</w:t>
      </w:r>
      <w:r w:rsidR="00BB120E" w:rsidRPr="00DC34BB">
        <w:t xml:space="preserve"> process is described for EQC in particular, it may also be used to develop </w:t>
      </w:r>
      <w:r w:rsidR="00875167" w:rsidRPr="00DC34BB">
        <w:t>waste</w:t>
      </w:r>
      <w:r w:rsidR="00BB120E" w:rsidRPr="00DC34BB">
        <w:t xml:space="preserve">water quality criteria in a plan. </w:t>
      </w:r>
      <w:commentRangeEnd w:id="62"/>
      <w:r w:rsidR="00110C74" w:rsidRPr="00DC34BB">
        <w:rPr>
          <w:rStyle w:val="CommentReference"/>
        </w:rPr>
        <w:commentReference w:id="62"/>
      </w:r>
    </w:p>
    <w:p w14:paraId="4E8D8698" w14:textId="6F570781" w:rsidR="007C32CE" w:rsidRPr="00DC34BB" w:rsidRDefault="007C32CE" w:rsidP="00F02E59">
      <w:commentRangeStart w:id="63"/>
      <w:r w:rsidRPr="00DC34BB">
        <w:t>For proposed non-point source effluent</w:t>
      </w:r>
      <w:r w:rsidR="009520D1" w:rsidRPr="00DC34BB">
        <w:t>s</w:t>
      </w:r>
      <w:r w:rsidRPr="00DC34BB">
        <w:t xml:space="preserve">, the </w:t>
      </w:r>
      <w:r w:rsidR="0073058B" w:rsidRPr="00DC34BB">
        <w:t>LWBs</w:t>
      </w:r>
      <w:r w:rsidRPr="00DC34BB">
        <w:t xml:space="preserve"> </w:t>
      </w:r>
      <w:r w:rsidR="00C376DB" w:rsidRPr="00DC34BB">
        <w:t>may</w:t>
      </w:r>
      <w:r w:rsidRPr="00DC34BB">
        <w:t xml:space="preserve"> consider setting EQC or requiring management or monitoring plans that include </w:t>
      </w:r>
      <w:r w:rsidR="00D3297B" w:rsidRPr="00DC34BB">
        <w:t xml:space="preserve">water and/or </w:t>
      </w:r>
      <w:r w:rsidR="00875167" w:rsidRPr="00DC34BB">
        <w:t>waste</w:t>
      </w:r>
      <w:r w:rsidRPr="00DC34BB">
        <w:t xml:space="preserve">water quality criteria that must be met at specific locations. For example, for </w:t>
      </w:r>
      <w:r w:rsidR="00BD5D87" w:rsidRPr="00DC34BB">
        <w:t xml:space="preserve">underground </w:t>
      </w:r>
      <w:r w:rsidRPr="00DC34BB">
        <w:t xml:space="preserve">seepage or leachate from a waste management facility, the Board may require a groundwater management </w:t>
      </w:r>
      <w:r w:rsidR="008520FF" w:rsidRPr="00DC34BB">
        <w:t xml:space="preserve">or monitoring </w:t>
      </w:r>
      <w:r w:rsidRPr="00DC34BB">
        <w:t xml:space="preserve">plan that includes </w:t>
      </w:r>
      <w:r w:rsidR="00D3297B" w:rsidRPr="00DC34BB">
        <w:t xml:space="preserve">water and/or </w:t>
      </w:r>
      <w:r w:rsidR="00875167" w:rsidRPr="00DC34BB">
        <w:t>waste</w:t>
      </w:r>
      <w:r w:rsidRPr="00DC34BB">
        <w:t>water quality criteria</w:t>
      </w:r>
      <w:r w:rsidR="00C376DB" w:rsidRPr="00DC34BB">
        <w:t xml:space="preserve"> </w:t>
      </w:r>
      <w:r w:rsidRPr="00DC34BB">
        <w:t>and a response framework that apply at specific groundwater monitoring wells.</w:t>
      </w:r>
      <w:commentRangeEnd w:id="63"/>
      <w:r w:rsidR="00571B9F" w:rsidRPr="00DC34BB">
        <w:rPr>
          <w:rStyle w:val="CommentReference"/>
        </w:rPr>
        <w:commentReference w:id="63"/>
      </w:r>
    </w:p>
    <w:p w14:paraId="6C559605" w14:textId="25A92FDB" w:rsidR="00D7305B" w:rsidRPr="00DC34BB" w:rsidRDefault="005F13BE" w:rsidP="00F02E59">
      <w:r w:rsidRPr="00DC34BB">
        <w:t>For</w:t>
      </w:r>
      <w:r w:rsidR="00330400" w:rsidRPr="00DC34BB">
        <w:t xml:space="preserve"> </w:t>
      </w:r>
      <w:r w:rsidR="00C136FE" w:rsidRPr="00DC34BB">
        <w:t xml:space="preserve">proposed </w:t>
      </w:r>
      <w:r w:rsidR="00A008A8" w:rsidRPr="00DC34BB">
        <w:t>point</w:t>
      </w:r>
      <w:r w:rsidR="007600AE" w:rsidRPr="00DC34BB">
        <w:t>-source effluent</w:t>
      </w:r>
      <w:r w:rsidR="008E3458" w:rsidRPr="00DC34BB">
        <w:t>s</w:t>
      </w:r>
      <w:r w:rsidR="00A508EC" w:rsidRPr="00DC34BB">
        <w:t xml:space="preserve">, </w:t>
      </w:r>
      <w:r w:rsidR="00844193" w:rsidRPr="00DC34BB">
        <w:t xml:space="preserve">the </w:t>
      </w:r>
      <w:r w:rsidR="0073058B" w:rsidRPr="00DC34BB">
        <w:t>LWBs</w:t>
      </w:r>
      <w:r w:rsidR="00844193" w:rsidRPr="00DC34BB">
        <w:t xml:space="preserve"> </w:t>
      </w:r>
      <w:r w:rsidR="00D20304" w:rsidRPr="00DC34BB">
        <w:t xml:space="preserve">will </w:t>
      </w:r>
      <w:r w:rsidR="00614726" w:rsidRPr="00DC34BB">
        <w:t>typically</w:t>
      </w:r>
      <w:r w:rsidR="00844193" w:rsidRPr="00DC34BB">
        <w:t xml:space="preserve"> set </w:t>
      </w:r>
      <w:r w:rsidR="00F02E59" w:rsidRPr="00DC34BB">
        <w:t xml:space="preserve">EQC </w:t>
      </w:r>
      <w:r w:rsidR="00D20304" w:rsidRPr="00DC34BB">
        <w:t xml:space="preserve">to </w:t>
      </w:r>
      <w:r w:rsidR="00F02E59" w:rsidRPr="00DC34BB">
        <w:t xml:space="preserve">define the maximum allowable concentrations (e.g., mg/L), quantities (e.g., kg/year), or limits (e.g., pH range) of any contaminant or parameter of the </w:t>
      </w:r>
      <w:r w:rsidR="00614726" w:rsidRPr="00DC34BB">
        <w:t>effluent</w:t>
      </w:r>
      <w:r w:rsidR="002F0B69" w:rsidRPr="00DC34BB">
        <w:t xml:space="preserve"> if the evidence before a Board indicates</w:t>
      </w:r>
      <w:r w:rsidR="00614726" w:rsidRPr="00DC34BB">
        <w:t xml:space="preserve"> </w:t>
      </w:r>
      <w:r w:rsidR="002F0B69" w:rsidRPr="00DC34BB">
        <w:t xml:space="preserve">that it </w:t>
      </w:r>
      <w:r w:rsidR="00F02E59" w:rsidRPr="00DC34BB">
        <w:t xml:space="preserve">has the potential to adversely affect water quality in the receiving environment. </w:t>
      </w:r>
      <w:commentRangeStart w:id="64"/>
      <w:r w:rsidR="00DD3027" w:rsidRPr="00DC34BB">
        <w:t xml:space="preserve">The </w:t>
      </w:r>
      <w:r w:rsidR="00F80225" w:rsidRPr="00DC34BB">
        <w:t>LWBs</w:t>
      </w:r>
      <w:r w:rsidR="00DD3027" w:rsidRPr="00DC34BB">
        <w:t xml:space="preserve"> may also set limits on the discharge rate and/or volume. </w:t>
      </w:r>
      <w:commentRangeEnd w:id="64"/>
      <w:r w:rsidR="003873B1" w:rsidRPr="00DC34BB">
        <w:rPr>
          <w:rStyle w:val="CommentReference"/>
        </w:rPr>
        <w:commentReference w:id="64"/>
      </w:r>
    </w:p>
    <w:p w14:paraId="150B4DB5" w14:textId="67EE5B91" w:rsidR="00E53774" w:rsidRPr="00DC34BB" w:rsidRDefault="00F02E59" w:rsidP="00CE6B81">
      <w:r w:rsidRPr="00DC34BB">
        <w:t>Figure 1 illustrates, with a</w:t>
      </w:r>
      <w:r w:rsidR="00814A3A" w:rsidRPr="00DC34BB">
        <w:t xml:space="preserve"> point-source effluent</w:t>
      </w:r>
      <w:r w:rsidRPr="00DC34BB">
        <w:t xml:space="preserve"> example, the relationship between EQC and the</w:t>
      </w:r>
      <w:r w:rsidR="005208E2" w:rsidRPr="00DC34BB">
        <w:t xml:space="preserve"> WQOs in the</w:t>
      </w:r>
      <w:r w:rsidRPr="00DC34BB" w:rsidDel="007307DB">
        <w:t xml:space="preserve"> receiving environment</w:t>
      </w:r>
      <w:r w:rsidRPr="00DC34BB">
        <w:t>.</w:t>
      </w:r>
      <w:r w:rsidRPr="00DC34BB" w:rsidDel="00DD3027">
        <w:t xml:space="preserve"> </w:t>
      </w:r>
      <w:r w:rsidRPr="00DC34BB">
        <w:t xml:space="preserve">On a case-by-case basis, </w:t>
      </w:r>
      <w:r w:rsidR="00C56A82" w:rsidRPr="00DC34BB">
        <w:t xml:space="preserve">a </w:t>
      </w:r>
      <w:r w:rsidRPr="00DC34BB">
        <w:t xml:space="preserve">Board may decide to define a </w:t>
      </w:r>
      <w:r w:rsidR="002118C3" w:rsidRPr="00DC34BB">
        <w:t xml:space="preserve">regulated </w:t>
      </w:r>
      <w:r w:rsidRPr="00DC34BB">
        <w:t xml:space="preserve">mixing zone between the point of discharge and the point at which </w:t>
      </w:r>
      <w:r w:rsidR="00BD127C" w:rsidRPr="00DC34BB">
        <w:t>WQOs</w:t>
      </w:r>
      <w:r w:rsidR="004620BC" w:rsidRPr="00DC34BB">
        <w:t xml:space="preserve"> </w:t>
      </w:r>
      <w:r w:rsidRPr="00DC34BB">
        <w:t xml:space="preserve">need to be met. </w:t>
      </w:r>
      <w:r w:rsidR="00FF7283" w:rsidRPr="00DC34BB">
        <w:t xml:space="preserve">Further information about when and how the </w:t>
      </w:r>
      <w:r w:rsidR="00F94201" w:rsidRPr="00DC34BB">
        <w:t>LWBs</w:t>
      </w:r>
      <w:r w:rsidR="00FF7283" w:rsidRPr="00DC34BB">
        <w:t xml:space="preserve"> will consider mixing zones is available in the </w:t>
      </w:r>
      <w:r w:rsidR="0034205E" w:rsidRPr="00DC34BB">
        <w:t>MVLWB/GNWT</w:t>
      </w:r>
      <w:r w:rsidR="00FF7283" w:rsidRPr="00DC34BB">
        <w:t xml:space="preserve"> </w:t>
      </w:r>
      <w:hyperlink r:id="rId45" w:history="1">
        <w:r w:rsidR="00FF7283" w:rsidRPr="00DC34BB">
          <w:rPr>
            <w:rStyle w:val="Hyperlink"/>
            <w:i/>
            <w:iCs/>
          </w:rPr>
          <w:t>Guidelines for Effluent Mixing Zones</w:t>
        </w:r>
      </w:hyperlink>
      <w:r w:rsidR="00FF7283" w:rsidRPr="00DC34BB">
        <w:t xml:space="preserve">. </w:t>
      </w:r>
    </w:p>
    <w:p w14:paraId="107C2743" w14:textId="54567D21" w:rsidR="00E53774" w:rsidRPr="00DC34BB" w:rsidRDefault="00E53774" w:rsidP="00CE6B81">
      <w:r w:rsidRPr="00DC34BB">
        <w:rPr>
          <w:noProof/>
        </w:rPr>
        <w:lastRenderedPageBreak/>
        <w:drawing>
          <wp:inline distT="0" distB="0" distL="0" distR="0" wp14:anchorId="659EBEEB" wp14:editId="73186674">
            <wp:extent cx="5067300" cy="3536950"/>
            <wp:effectExtent l="19050" t="19050" r="1905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12608" t="6760" r="2137" b="17939"/>
                    <a:stretch/>
                  </pic:blipFill>
                  <pic:spPr bwMode="auto">
                    <a:xfrm>
                      <a:off x="0" y="0"/>
                      <a:ext cx="5067300" cy="3536950"/>
                    </a:xfrm>
                    <a:prstGeom prst="rect">
                      <a:avLst/>
                    </a:prstGeom>
                    <a:noFill/>
                    <a:ln w="19050">
                      <a:solidFill>
                        <a:schemeClr val="tx1"/>
                      </a:solidFill>
                    </a:ln>
                    <a:extLst>
                      <a:ext uri="{53640926-AAD7-44D8-BBD7-CCE9431645EC}">
                        <a14:shadowObscured xmlns:a14="http://schemas.microsoft.com/office/drawing/2010/main"/>
                      </a:ext>
                    </a:extLst>
                  </pic:spPr>
                </pic:pic>
              </a:graphicData>
            </a:graphic>
          </wp:inline>
        </w:drawing>
      </w:r>
    </w:p>
    <w:p w14:paraId="134E1B88" w14:textId="63A25A51" w:rsidR="00E65D1C" w:rsidRPr="00DC34BB" w:rsidRDefault="00E65D1C" w:rsidP="00CE6B81">
      <w:pPr>
        <w:pStyle w:val="Figure"/>
        <w:spacing w:after="0"/>
        <w:rPr>
          <w:sz w:val="22"/>
          <w:szCs w:val="22"/>
        </w:rPr>
      </w:pPr>
      <w:commentRangeStart w:id="65"/>
      <w:r w:rsidRPr="00DC34BB">
        <w:rPr>
          <w:sz w:val="22"/>
          <w:szCs w:val="22"/>
        </w:rPr>
        <w:t>Figure 1: Example of the Relationship Between EQC and WQOs</w:t>
      </w:r>
      <w:r w:rsidR="00C70360" w:rsidRPr="00DC34BB">
        <w:rPr>
          <w:rStyle w:val="FootnoteReference"/>
          <w:sz w:val="22"/>
          <w:szCs w:val="22"/>
        </w:rPr>
        <w:footnoteReference w:id="13"/>
      </w:r>
      <w:commentRangeEnd w:id="65"/>
      <w:r w:rsidR="005A6F97" w:rsidRPr="00DC34BB">
        <w:rPr>
          <w:rStyle w:val="CommentReference"/>
          <w:b w:val="0"/>
          <w:bCs w:val="0"/>
          <w:color w:val="auto"/>
        </w:rPr>
        <w:commentReference w:id="65"/>
      </w:r>
    </w:p>
    <w:p w14:paraId="5CC744AC" w14:textId="77777777" w:rsidR="00C70360" w:rsidRPr="00DC34BB" w:rsidRDefault="00C70360" w:rsidP="00F02E59"/>
    <w:p w14:paraId="70A2D8B9" w14:textId="0476832A" w:rsidR="00F02E59" w:rsidRPr="00DC34BB" w:rsidDel="00FF7283" w:rsidRDefault="00F02E59" w:rsidP="00F02E59">
      <w:r w:rsidRPr="00DC34BB">
        <w:t xml:space="preserve">Note that in accordance with the </w:t>
      </w:r>
      <w:r w:rsidR="0095235D" w:rsidRPr="00DC34BB">
        <w:t xml:space="preserve">LWBs’ </w:t>
      </w:r>
      <w:r w:rsidRPr="00DC34BB">
        <w:t xml:space="preserve">objective to minimize waste discharge, </w:t>
      </w:r>
      <w:r w:rsidR="00FF7283" w:rsidRPr="00DC34BB">
        <w:t>licensees</w:t>
      </w:r>
      <w:r w:rsidRPr="00DC34BB">
        <w:t xml:space="preserve"> are expected to minimize and, where feasible, to prevent waste from entering water. Therefore, and consistent with the CCME nondegradation policy,</w:t>
      </w:r>
      <w:r w:rsidR="006933D7" w:rsidRPr="00DC34BB">
        <w:rPr>
          <w:rStyle w:val="FootnoteReference"/>
        </w:rPr>
        <w:footnoteReference w:id="14"/>
      </w:r>
      <w:r w:rsidRPr="00DC34BB">
        <w:t xml:space="preserve"> the </w:t>
      </w:r>
      <w:r w:rsidR="0095235D" w:rsidRPr="00DC34BB">
        <w:t xml:space="preserve">LWBs </w:t>
      </w:r>
      <w:r w:rsidRPr="00DC34BB">
        <w:t xml:space="preserve">may set EQC that are more stringent than what is necessary to meet </w:t>
      </w:r>
      <w:r w:rsidR="00C309D3" w:rsidRPr="00DC34BB">
        <w:t>WQOs</w:t>
      </w:r>
      <w:r w:rsidRPr="00DC34BB">
        <w:t xml:space="preserve"> in the </w:t>
      </w:r>
      <w:r w:rsidR="00F84550" w:rsidRPr="00DC34BB">
        <w:t xml:space="preserve">aquatic </w:t>
      </w:r>
      <w:r w:rsidRPr="00DC34BB">
        <w:t xml:space="preserve">receiving environment. When making this determination, the Board will ensure that EQC are set at levels that the </w:t>
      </w:r>
      <w:r w:rsidR="00FF7283" w:rsidRPr="00DC34BB">
        <w:t xml:space="preserve">licensee </w:t>
      </w:r>
      <w:r w:rsidRPr="00DC34BB">
        <w:t>can reasonably and consistently achieve.</w:t>
      </w:r>
      <w:r w:rsidR="00FF7283" w:rsidRPr="00DC34BB">
        <w:t xml:space="preserve"> Further details on the </w:t>
      </w:r>
      <w:r w:rsidR="00FE284C" w:rsidRPr="00DC34BB">
        <w:t>LWBs’</w:t>
      </w:r>
      <w:r w:rsidR="00FF7283" w:rsidRPr="00DC34BB">
        <w:t xml:space="preserve"> process for setting EQC are available in </w:t>
      </w:r>
      <w:r w:rsidR="00E57B23" w:rsidRPr="00DC34BB">
        <w:t xml:space="preserve">the LWBs’ </w:t>
      </w:r>
      <w:r w:rsidR="00F46B80" w:rsidRPr="00DC34BB">
        <w:rPr>
          <w:i/>
          <w:iCs/>
        </w:rPr>
        <w:t>Standard Process</w:t>
      </w:r>
      <w:r w:rsidR="00E57B23" w:rsidRPr="00DC34BB">
        <w:rPr>
          <w:i/>
          <w:iCs/>
        </w:rPr>
        <w:t xml:space="preserve"> for Setting Effluent Quality Criteria</w:t>
      </w:r>
      <w:r w:rsidR="00FF7283" w:rsidRPr="00DC34BB">
        <w:t>.</w:t>
      </w:r>
      <w:bookmarkStart w:id="66" w:name="_Toc84401204"/>
      <w:bookmarkEnd w:id="66"/>
    </w:p>
    <w:p w14:paraId="2B3B6B2E" w14:textId="23899A28" w:rsidR="004259C8" w:rsidRPr="00DC34BB" w:rsidRDefault="004259C8" w:rsidP="00090A28">
      <w:pPr>
        <w:pStyle w:val="Heading2"/>
      </w:pPr>
      <w:bookmarkStart w:id="67" w:name="_Monitoring_Requirements"/>
      <w:bookmarkStart w:id="68" w:name="_Toc89615538"/>
      <w:bookmarkEnd w:id="67"/>
      <w:r w:rsidRPr="00DC34BB">
        <w:t>Monitoring Requirements</w:t>
      </w:r>
      <w:commentRangeStart w:id="69"/>
      <w:r w:rsidR="00ED34FC" w:rsidRPr="00DC34BB">
        <w:rPr>
          <w:rStyle w:val="FootnoteReference"/>
        </w:rPr>
        <w:footnoteReference w:id="15"/>
      </w:r>
      <w:bookmarkEnd w:id="68"/>
      <w:commentRangeEnd w:id="69"/>
      <w:r w:rsidR="000C3AC0" w:rsidRPr="00DC34BB">
        <w:rPr>
          <w:rStyle w:val="CommentReference"/>
          <w:rFonts w:eastAsiaTheme="minorHAnsi" w:cstheme="minorBidi"/>
          <w:b w:val="0"/>
        </w:rPr>
        <w:commentReference w:id="69"/>
      </w:r>
    </w:p>
    <w:p w14:paraId="47957ECB" w14:textId="3FE24475" w:rsidR="00F02E59" w:rsidRPr="00DC34BB" w:rsidRDefault="00F02E59" w:rsidP="00F02E59">
      <w:r w:rsidRPr="00DC34BB">
        <w:t xml:space="preserve">Environmental monitoring programs are essential for providing the information needed to determine if the waste prevention/minimization and water quality protection measures (including </w:t>
      </w:r>
      <w:r w:rsidR="00FE0209" w:rsidRPr="00DC34BB">
        <w:t>discharge criteria</w:t>
      </w:r>
      <w:r w:rsidRPr="00DC34BB">
        <w:t xml:space="preserve">) are successfully meeting their stated objectives. Monitoring will </w:t>
      </w:r>
      <w:r w:rsidR="00B87CC7" w:rsidRPr="00DC34BB">
        <w:t xml:space="preserve">typically </w:t>
      </w:r>
      <w:r w:rsidRPr="00DC34BB">
        <w:t xml:space="preserve">be required for various activities </w:t>
      </w:r>
      <w:r w:rsidRPr="00DC34BB">
        <w:lastRenderedPageBreak/>
        <w:t>during the construction, operation</w:t>
      </w:r>
      <w:r w:rsidR="00770ADF" w:rsidRPr="00DC34BB">
        <w:t>,</w:t>
      </w:r>
      <w:r w:rsidRPr="00DC34BB">
        <w:t xml:space="preserve"> and closure of a project</w:t>
      </w:r>
      <w:r w:rsidR="009C7884" w:rsidRPr="00DC34BB">
        <w:t xml:space="preserve"> – </w:t>
      </w:r>
      <w:r w:rsidRPr="00DC34BB">
        <w:t>the most common monitoring programs are described below:</w:t>
      </w:r>
    </w:p>
    <w:p w14:paraId="6BC2FD26" w14:textId="5E00F30B" w:rsidR="00BB42A7" w:rsidRPr="00DC34BB" w:rsidRDefault="00F02E59" w:rsidP="00B01B85">
      <w:pPr>
        <w:pStyle w:val="ListParagraph"/>
        <w:numPr>
          <w:ilvl w:val="0"/>
          <w:numId w:val="22"/>
        </w:numPr>
        <w:spacing w:after="160"/>
        <w:contextualSpacing w:val="0"/>
      </w:pPr>
      <w:r w:rsidRPr="00DC34BB">
        <w:t xml:space="preserve">Surveillance Network Programs (SNPs) </w:t>
      </w:r>
      <w:r w:rsidR="002F0B69" w:rsidRPr="00DC34BB">
        <w:t xml:space="preserve">are often included in licences and </w:t>
      </w:r>
      <w:r w:rsidR="00B14D4D" w:rsidRPr="00DC34BB">
        <w:t xml:space="preserve">primarily </w:t>
      </w:r>
      <w:r w:rsidRPr="00DC34BB">
        <w:t xml:space="preserve">consist of </w:t>
      </w:r>
      <w:r w:rsidR="00B14D4D" w:rsidRPr="00DC34BB">
        <w:t xml:space="preserve">water </w:t>
      </w:r>
      <w:r w:rsidR="00075618" w:rsidRPr="00DC34BB">
        <w:t xml:space="preserve">and wastewater </w:t>
      </w:r>
      <w:r w:rsidR="00B14D4D" w:rsidRPr="00DC34BB">
        <w:t>quality and quantity monitoring at key locations on the project</w:t>
      </w:r>
      <w:r w:rsidR="00075618" w:rsidRPr="00DC34BB">
        <w:t xml:space="preserve"> site</w:t>
      </w:r>
      <w:r w:rsidRPr="00DC34BB">
        <w:t xml:space="preserve">. SNPs are designed to aid the </w:t>
      </w:r>
      <w:r w:rsidR="00770ADF" w:rsidRPr="00DC34BB">
        <w:t xml:space="preserve">licensee </w:t>
      </w:r>
      <w:r w:rsidRPr="00DC34BB">
        <w:t xml:space="preserve">and regulators in </w:t>
      </w:r>
      <w:r w:rsidR="00770ADF" w:rsidRPr="00DC34BB">
        <w:t>evaluating</w:t>
      </w:r>
      <w:r w:rsidRPr="00DC34BB">
        <w:t xml:space="preserve"> </w:t>
      </w:r>
      <w:r w:rsidR="00075618" w:rsidRPr="00DC34BB">
        <w:t>compliance with</w:t>
      </w:r>
      <w:r w:rsidR="00584840" w:rsidRPr="00DC34BB">
        <w:t xml:space="preserve"> </w:t>
      </w:r>
      <w:r w:rsidR="00075618" w:rsidRPr="00DC34BB">
        <w:t xml:space="preserve">licence requirements and determining </w:t>
      </w:r>
      <w:r w:rsidR="00770ADF" w:rsidRPr="00DC34BB">
        <w:t>whether</w:t>
      </w:r>
      <w:r w:rsidRPr="00DC34BB">
        <w:t xml:space="preserve"> waste management activities are effective</w:t>
      </w:r>
      <w:r w:rsidR="001F6C62" w:rsidRPr="00DC34BB">
        <w:t>; therefore</w:t>
      </w:r>
      <w:r w:rsidR="00075618" w:rsidRPr="00DC34BB">
        <w:t>, sampling locations and requirements are decided on a site-specific basis</w:t>
      </w:r>
      <w:r w:rsidRPr="00DC34BB">
        <w:t xml:space="preserve">. </w:t>
      </w:r>
      <w:r w:rsidR="00AC7A62" w:rsidRPr="00DC34BB">
        <w:t xml:space="preserve">Any final discharge </w:t>
      </w:r>
      <w:r w:rsidR="6CAE441D" w:rsidRPr="00DC34BB">
        <w:t xml:space="preserve">and compliance </w:t>
      </w:r>
      <w:r w:rsidR="00AC7A62" w:rsidRPr="00DC34BB">
        <w:t xml:space="preserve">point(s) will have an associated SNP station where </w:t>
      </w:r>
      <w:r w:rsidR="004620BC" w:rsidRPr="00DC34BB">
        <w:t xml:space="preserve">any applicable </w:t>
      </w:r>
      <w:r w:rsidR="009E3144" w:rsidRPr="00DC34BB">
        <w:t>discharge criteria</w:t>
      </w:r>
      <w:r w:rsidR="00AC7A62" w:rsidRPr="00DC34BB">
        <w:t xml:space="preserve"> must be met. </w:t>
      </w:r>
      <w:r w:rsidRPr="00DC34BB">
        <w:t xml:space="preserve">Other SNP stations are often located at points of waste transfer or treatment prior to the </w:t>
      </w:r>
      <w:r w:rsidR="00075618" w:rsidRPr="00DC34BB">
        <w:t xml:space="preserve">final discharge </w:t>
      </w:r>
      <w:r w:rsidR="00491B0E" w:rsidRPr="00DC34BB">
        <w:t xml:space="preserve">or compliance </w:t>
      </w:r>
      <w:r w:rsidR="00075618" w:rsidRPr="00DC34BB">
        <w:t>point(s)</w:t>
      </w:r>
      <w:r w:rsidRPr="00DC34BB">
        <w:t xml:space="preserve"> to ensure that the waste</w:t>
      </w:r>
      <w:r w:rsidR="004620BC" w:rsidRPr="00DC34BB">
        <w:t xml:space="preserve"> management</w:t>
      </w:r>
      <w:r w:rsidRPr="00DC34BB">
        <w:t xml:space="preserve"> system is working as expected and to identify any source control issues as they arise</w:t>
      </w:r>
      <w:commentRangeStart w:id="70"/>
      <w:r w:rsidRPr="00DC34BB">
        <w:t>.</w:t>
      </w:r>
      <w:r w:rsidR="004620BC" w:rsidRPr="00DC34BB">
        <w:t xml:space="preserve"> In some cases, these locations may correlate to points where management plan action levels are applied.</w:t>
      </w:r>
      <w:r w:rsidR="003E0C4A" w:rsidRPr="00DC34BB">
        <w:t xml:space="preserve"> In order to determine the effectiveness of the discharge criteria, SNP stations are also often located in the receiving environment to monitor whether WQOs are being met – these stations may correlate </w:t>
      </w:r>
      <w:r w:rsidR="00886767">
        <w:t>w</w:t>
      </w:r>
      <w:r w:rsidR="002E1AB0">
        <w:t>ith some</w:t>
      </w:r>
      <w:r w:rsidR="003E0C4A" w:rsidRPr="00DC34BB">
        <w:t xml:space="preserve"> AEMP stations, if applicable. </w:t>
      </w:r>
      <w:commentRangeEnd w:id="70"/>
      <w:r w:rsidR="00B01B85" w:rsidRPr="00DC34BB">
        <w:rPr>
          <w:rStyle w:val="CommentReference"/>
        </w:rPr>
        <w:commentReference w:id="70"/>
      </w:r>
    </w:p>
    <w:p w14:paraId="6CE0E42B" w14:textId="23360C04" w:rsidR="00030AD0" w:rsidRPr="00DC34BB" w:rsidRDefault="00D53DB6" w:rsidP="001205C2">
      <w:pPr>
        <w:pStyle w:val="ListParagraph"/>
        <w:numPr>
          <w:ilvl w:val="0"/>
          <w:numId w:val="22"/>
        </w:numPr>
        <w:spacing w:after="160"/>
        <w:contextualSpacing w:val="0"/>
      </w:pPr>
      <w:commentRangeStart w:id="71"/>
      <w:r w:rsidRPr="00DC34BB">
        <w:t>Management plans</w:t>
      </w:r>
      <w:commentRangeEnd w:id="71"/>
      <w:r w:rsidR="00923B51" w:rsidRPr="00DC34BB">
        <w:rPr>
          <w:rStyle w:val="CommentReference"/>
        </w:rPr>
        <w:commentReference w:id="71"/>
      </w:r>
      <w:r w:rsidRPr="00DC34BB">
        <w:t xml:space="preserve">, design and construction plans, and operations and maintenance </w:t>
      </w:r>
      <w:r w:rsidR="00523D76" w:rsidRPr="00DC34BB">
        <w:t>plans</w:t>
      </w:r>
      <w:r w:rsidRPr="00DC34BB">
        <w:t xml:space="preserve"> required </w:t>
      </w:r>
      <w:r w:rsidR="00901757" w:rsidRPr="00DC34BB">
        <w:t>by</w:t>
      </w:r>
      <w:r w:rsidR="00A1173F" w:rsidRPr="00DC34BB">
        <w:t xml:space="preserve"> </w:t>
      </w:r>
      <w:r w:rsidRPr="00DC34BB">
        <w:t xml:space="preserve">licence </w:t>
      </w:r>
      <w:r w:rsidR="00A66796" w:rsidRPr="00DC34BB">
        <w:t xml:space="preserve">and/or </w:t>
      </w:r>
      <w:r w:rsidR="00600EE1" w:rsidRPr="00DC34BB">
        <w:t xml:space="preserve">permit </w:t>
      </w:r>
      <w:r w:rsidRPr="00DC34BB">
        <w:t>conditions may include monitoring to evaluate whether</w:t>
      </w:r>
      <w:r w:rsidR="00D67992" w:rsidRPr="00DC34BB">
        <w:t xml:space="preserve"> design and/or performance criteria for waste management systems are being met. This type of monitoring may be associated with </w:t>
      </w:r>
      <w:r w:rsidR="00C64900" w:rsidRPr="00DC34BB">
        <w:t>requirements for</w:t>
      </w:r>
      <w:r w:rsidR="00972370" w:rsidRPr="00DC34BB">
        <w:t xml:space="preserve"> a response framework, with</w:t>
      </w:r>
      <w:r w:rsidR="00C64900" w:rsidRPr="00DC34BB">
        <w:t xml:space="preserve"> </w:t>
      </w:r>
      <w:r w:rsidR="00D67992" w:rsidRPr="00DC34BB">
        <w:t xml:space="preserve">action levels and </w:t>
      </w:r>
      <w:r w:rsidR="00972370" w:rsidRPr="00DC34BB">
        <w:t>general response actions,</w:t>
      </w:r>
      <w:r w:rsidR="00D67992" w:rsidRPr="00DC34BB">
        <w:t xml:space="preserve"> to provide an early warning system to prevent </w:t>
      </w:r>
      <w:r w:rsidR="002E1AB0" w:rsidRPr="00DC34BB">
        <w:t xml:space="preserve">non-compliance with conditions </w:t>
      </w:r>
      <w:r w:rsidR="002E1AB0">
        <w:t xml:space="preserve">and </w:t>
      </w:r>
      <w:r w:rsidR="00D67992" w:rsidRPr="00DC34BB">
        <w:t xml:space="preserve">potential environmental impacts </w:t>
      </w:r>
      <w:r w:rsidR="008875E0" w:rsidRPr="00DC34BB">
        <w:t xml:space="preserve">(see </w:t>
      </w:r>
      <w:hyperlink w:anchor="_Adaptive_Management" w:history="1">
        <w:r w:rsidR="008875E0" w:rsidRPr="00DC34BB">
          <w:rPr>
            <w:rStyle w:val="Hyperlink"/>
          </w:rPr>
          <w:t xml:space="preserve">section </w:t>
        </w:r>
        <w:r w:rsidR="009C7884" w:rsidRPr="00DC34BB">
          <w:rPr>
            <w:rStyle w:val="Hyperlink"/>
          </w:rPr>
          <w:t>4</w:t>
        </w:r>
        <w:r w:rsidR="008875E0" w:rsidRPr="00DC34BB">
          <w:rPr>
            <w:rStyle w:val="Hyperlink"/>
          </w:rPr>
          <w:t>.5</w:t>
        </w:r>
      </w:hyperlink>
      <w:r w:rsidR="008875E0" w:rsidRPr="00DC34BB">
        <w:t xml:space="preserve"> and the </w:t>
      </w:r>
      <w:hyperlink r:id="rId47" w:history="1">
        <w:r w:rsidR="008875E0" w:rsidRPr="00DC34BB">
          <w:rPr>
            <w:rStyle w:val="Hyperlink"/>
            <w:i/>
            <w:iCs/>
          </w:rPr>
          <w:t xml:space="preserve">Standard Water Licence Conditions </w:t>
        </w:r>
        <w:r w:rsidR="00FA028C" w:rsidRPr="00DC34BB">
          <w:rPr>
            <w:rStyle w:val="Hyperlink"/>
            <w:i/>
            <w:iCs/>
          </w:rPr>
          <w:t>and Schedules</w:t>
        </w:r>
      </w:hyperlink>
      <w:r w:rsidR="008875E0" w:rsidRPr="00DC34BB">
        <w:t>)</w:t>
      </w:r>
      <w:r w:rsidR="00D67992" w:rsidRPr="00DC34BB">
        <w:t>.</w:t>
      </w:r>
      <w:r w:rsidRPr="00DC34BB">
        <w:t xml:space="preserve"> </w:t>
      </w:r>
      <w:r w:rsidR="00203F02" w:rsidRPr="00DC34BB">
        <w:t xml:space="preserve">Applicable </w:t>
      </w:r>
      <w:r w:rsidR="00BC5D25" w:rsidRPr="00DC34BB">
        <w:t>LWB</w:t>
      </w:r>
      <w:r w:rsidR="00203F02" w:rsidRPr="00DC34BB">
        <w:t xml:space="preserve"> guidance documents may set out r</w:t>
      </w:r>
      <w:r w:rsidR="00BC336E" w:rsidRPr="00DC34BB">
        <w:t>equirements for this type of monitoring</w:t>
      </w:r>
      <w:r w:rsidR="00203F02" w:rsidRPr="00DC34BB">
        <w:t xml:space="preserve">, and </w:t>
      </w:r>
      <w:r w:rsidR="00D70AE8" w:rsidRPr="00DC34BB">
        <w:t xml:space="preserve">in </w:t>
      </w:r>
      <w:r w:rsidR="00600EE1" w:rsidRPr="00DC34BB">
        <w:t>licence</w:t>
      </w:r>
      <w:r w:rsidR="00D70AE8" w:rsidRPr="00DC34BB">
        <w:t>s,</w:t>
      </w:r>
      <w:r w:rsidR="00BE6D2B" w:rsidRPr="00DC34BB">
        <w:t xml:space="preserve"> conditions may require the licensee to include this type of monitoring in specific plans and manuals</w:t>
      </w:r>
      <w:r w:rsidR="00BC336E" w:rsidRPr="00DC34BB">
        <w:t>.</w:t>
      </w:r>
      <w:r w:rsidR="004B6C1C" w:rsidRPr="00DC34BB">
        <w:t xml:space="preserve"> In some </w:t>
      </w:r>
      <w:r w:rsidR="00600EE1" w:rsidRPr="00DC34BB">
        <w:t>licence</w:t>
      </w:r>
      <w:r w:rsidR="00CA6813" w:rsidRPr="00DC34BB">
        <w:t>s</w:t>
      </w:r>
      <w:r w:rsidR="004B6C1C" w:rsidRPr="00DC34BB">
        <w:t xml:space="preserve">, </w:t>
      </w:r>
      <w:r w:rsidR="000339A3" w:rsidRPr="00DC34BB">
        <w:t>separate water and/or groundwater monitoring plans may be required</w:t>
      </w:r>
      <w:r w:rsidR="00D95673" w:rsidRPr="00DC34BB">
        <w:t>.</w:t>
      </w:r>
    </w:p>
    <w:p w14:paraId="077E7114" w14:textId="2C792E55" w:rsidR="004259C8" w:rsidRPr="00DC34BB" w:rsidRDefault="00F02E59" w:rsidP="001A0BDB">
      <w:pPr>
        <w:pStyle w:val="ListParagraph"/>
        <w:numPr>
          <w:ilvl w:val="0"/>
          <w:numId w:val="22"/>
        </w:numPr>
      </w:pPr>
      <w:commentRangeStart w:id="72"/>
      <w:r w:rsidRPr="00DC34BB">
        <w:t xml:space="preserve">Aquatic Effects Monitoring Programs (AEMPs) </w:t>
      </w:r>
      <w:commentRangeEnd w:id="72"/>
      <w:r w:rsidR="0010146E" w:rsidRPr="00DC34BB">
        <w:rPr>
          <w:rStyle w:val="CommentReference"/>
        </w:rPr>
        <w:commentReference w:id="72"/>
      </w:r>
      <w:r w:rsidR="002F0B69" w:rsidRPr="00DC34BB">
        <w:t xml:space="preserve">may be required in licences to </w:t>
      </w:r>
      <w:r w:rsidRPr="00DC34BB">
        <w:t xml:space="preserve">monitor the short- and long-term effects of a project on the wider </w:t>
      </w:r>
      <w:r w:rsidR="006B6015" w:rsidRPr="00DC34BB">
        <w:t xml:space="preserve">aquatic </w:t>
      </w:r>
      <w:r w:rsidRPr="00DC34BB">
        <w:t>receiving environmen</w:t>
      </w:r>
      <w:r w:rsidR="00D178BF" w:rsidRPr="00DC34BB">
        <w:t>t.</w:t>
      </w:r>
      <w:r w:rsidR="0066598D" w:rsidRPr="00DC34BB">
        <w:t xml:space="preserve"> </w:t>
      </w:r>
      <w:r w:rsidR="00280793" w:rsidRPr="00DC34BB">
        <w:t xml:space="preserve">In particular, AEMPs are meant to monitor project-related effects on the aquatic ecosystem including, for example, effects to water quality and/or quantity, aquatic habitats, and aquatic life. In addition to demonstrating that </w:t>
      </w:r>
      <w:r w:rsidR="00C309D3" w:rsidRPr="00DC34BB">
        <w:t>WQOs</w:t>
      </w:r>
      <w:r w:rsidR="00280793" w:rsidRPr="00DC34BB">
        <w:t xml:space="preserve"> are being</w:t>
      </w:r>
      <w:r w:rsidR="4B1465E4" w:rsidRPr="00DC34BB">
        <w:t xml:space="preserve"> </w:t>
      </w:r>
      <w:r w:rsidR="000B2A25" w:rsidRPr="00DC34BB">
        <w:t>met</w:t>
      </w:r>
      <w:r w:rsidR="00280793" w:rsidRPr="00DC34BB">
        <w:t xml:space="preserve">, AEMPs can indicate whether the </w:t>
      </w:r>
      <w:r w:rsidR="00C309D3" w:rsidRPr="00DC34BB">
        <w:t>WQOs</w:t>
      </w:r>
      <w:r w:rsidR="00280793" w:rsidRPr="00DC34BB">
        <w:t xml:space="preserve"> for the site are sufficiently protective and identify any effects that were not originally predicted. AEMPs include a response framework to link monitoring results to response actions. More information on when the </w:t>
      </w:r>
      <w:r w:rsidR="0049745A" w:rsidRPr="00DC34BB">
        <w:t>LWBs</w:t>
      </w:r>
      <w:r w:rsidR="00280793" w:rsidRPr="00DC34BB">
        <w:t xml:space="preserve"> may require AEMPs and on the </w:t>
      </w:r>
      <w:r w:rsidR="0049745A" w:rsidRPr="00DC34BB">
        <w:t>LWBs</w:t>
      </w:r>
      <w:r w:rsidR="00280793" w:rsidRPr="00DC34BB">
        <w:t xml:space="preserve">’ expectations for AEMPs is available in the MVLWB/GNWT </w:t>
      </w:r>
      <w:hyperlink r:id="rId48" w:history="1">
        <w:r w:rsidR="00280793" w:rsidRPr="00DC34BB">
          <w:rPr>
            <w:rStyle w:val="Hyperlink"/>
            <w:i/>
            <w:iCs/>
          </w:rPr>
          <w:t>Guidelines for Aquatic Effects Monitoring Programs</w:t>
        </w:r>
      </w:hyperlink>
      <w:r w:rsidRPr="00DC34BB">
        <w:t xml:space="preserve">. </w:t>
      </w:r>
    </w:p>
    <w:p w14:paraId="44B4BF9F" w14:textId="16F64088" w:rsidR="00664872" w:rsidRPr="00DC34BB" w:rsidRDefault="005201B9" w:rsidP="00664872">
      <w:commentRangeStart w:id="73"/>
      <w:r w:rsidRPr="00DC34BB">
        <w:t>Where applicable,</w:t>
      </w:r>
      <w:r w:rsidR="009C2F38" w:rsidRPr="00DC34BB">
        <w:t xml:space="preserve"> conditions will also include reporting requirements for the monitoring outlined above. Any w</w:t>
      </w:r>
      <w:r w:rsidR="0036212D" w:rsidRPr="00DC34BB">
        <w:t xml:space="preserve">ater quality data submitted to the </w:t>
      </w:r>
      <w:r w:rsidR="00414527" w:rsidRPr="00DC34BB">
        <w:t>LWBs</w:t>
      </w:r>
      <w:r w:rsidR="0036212D" w:rsidRPr="00DC34BB">
        <w:t xml:space="preserve"> must meet the information requirements set out in the GNWT </w:t>
      </w:r>
      <w:hyperlink r:id="rId49" w:history="1">
        <w:r w:rsidR="0036212D" w:rsidRPr="00DC34BB">
          <w:rPr>
            <w:rStyle w:val="Hyperlink"/>
            <w:i/>
            <w:iCs/>
          </w:rPr>
          <w:t>Standards for Reporting Water Quality Information in the NWT</w:t>
        </w:r>
      </w:hyperlink>
      <w:r w:rsidR="0036212D" w:rsidRPr="00DC34BB">
        <w:t xml:space="preserve">, which have been adopted by the </w:t>
      </w:r>
      <w:r w:rsidR="00414527" w:rsidRPr="00DC34BB">
        <w:t>LWBs</w:t>
      </w:r>
      <w:r w:rsidR="0036212D" w:rsidRPr="00DC34BB">
        <w:rPr>
          <w:i/>
          <w:iCs/>
        </w:rPr>
        <w:t>.</w:t>
      </w:r>
      <w:commentRangeEnd w:id="73"/>
      <w:r w:rsidR="008C6161" w:rsidRPr="00DC34BB">
        <w:rPr>
          <w:rStyle w:val="CommentReference"/>
        </w:rPr>
        <w:commentReference w:id="73"/>
      </w:r>
    </w:p>
    <w:p w14:paraId="3BD96D12" w14:textId="05FEB94D" w:rsidR="00F02E59" w:rsidRPr="00DC34BB" w:rsidRDefault="00F02E59" w:rsidP="004259C8">
      <w:pPr>
        <w:pStyle w:val="Heading2"/>
      </w:pPr>
      <w:bookmarkStart w:id="74" w:name="_Adaptive_Management"/>
      <w:bookmarkStart w:id="75" w:name="_Toc89615539"/>
      <w:bookmarkEnd w:id="74"/>
      <w:r w:rsidRPr="00DC34BB">
        <w:lastRenderedPageBreak/>
        <w:t>Adaptive Management</w:t>
      </w:r>
      <w:bookmarkEnd w:id="75"/>
      <w:r w:rsidRPr="00DC34BB">
        <w:t xml:space="preserve"> </w:t>
      </w:r>
    </w:p>
    <w:p w14:paraId="3E22BE30" w14:textId="77777777" w:rsidR="0042390B" w:rsidRPr="00DC34BB" w:rsidRDefault="00F02E59" w:rsidP="00072357">
      <w:r w:rsidRPr="00DC34BB">
        <w:t xml:space="preserve">While selecting the best possible approach to </w:t>
      </w:r>
      <w:r w:rsidR="009C2F38" w:rsidRPr="00DC34BB">
        <w:t>waste</w:t>
      </w:r>
      <w:r w:rsidRPr="00DC34BB">
        <w:t xml:space="preserve"> management is very important, it can be difficult to predict all the effects of</w:t>
      </w:r>
      <w:r w:rsidR="004D6EF6" w:rsidRPr="00DC34BB">
        <w:t xml:space="preserve"> a project and the efficacy of mitigation measures</w:t>
      </w:r>
      <w:r w:rsidRPr="00DC34BB">
        <w:t xml:space="preserve">. As a result, adaptive management involves </w:t>
      </w:r>
      <w:commentRangeStart w:id="76"/>
      <w:r w:rsidR="00CA4EFA" w:rsidRPr="00DC34BB">
        <w:t>observing and</w:t>
      </w:r>
      <w:r w:rsidR="00414094" w:rsidRPr="00DC34BB">
        <w:t>/or</w:t>
      </w:r>
      <w:r w:rsidR="00CA4EFA" w:rsidRPr="00DC34BB">
        <w:t xml:space="preserve"> </w:t>
      </w:r>
      <w:commentRangeEnd w:id="76"/>
      <w:r w:rsidR="00CF1C34" w:rsidRPr="00DC34BB">
        <w:rPr>
          <w:rStyle w:val="CommentReference"/>
        </w:rPr>
        <w:commentReference w:id="76"/>
      </w:r>
      <w:r w:rsidRPr="00DC34BB">
        <w:t xml:space="preserve">monitoring the effects of actions and, where necessary, adjusting actions based on the </w:t>
      </w:r>
      <w:r w:rsidR="0087542F" w:rsidRPr="00DC34BB">
        <w:t>observations and</w:t>
      </w:r>
      <w:r w:rsidR="00414094" w:rsidRPr="00DC34BB">
        <w:t>/or</w:t>
      </w:r>
      <w:r w:rsidR="0087542F" w:rsidRPr="00DC34BB">
        <w:t xml:space="preserve"> </w:t>
      </w:r>
      <w:r w:rsidRPr="00DC34BB">
        <w:t xml:space="preserve">monitoring results. For example, if results show the effects of a project on the environment are different or worse than predicted, further mitigation measures may be prescribed or </w:t>
      </w:r>
      <w:r w:rsidR="00447DA1" w:rsidRPr="00DC34BB">
        <w:t xml:space="preserve">changes to </w:t>
      </w:r>
      <w:r w:rsidR="009E3144" w:rsidRPr="00DC34BB">
        <w:t>discharge criteria</w:t>
      </w:r>
      <w:r w:rsidR="001F5BFB" w:rsidRPr="00DC34BB">
        <w:t xml:space="preserve"> or other conditions</w:t>
      </w:r>
      <w:r w:rsidR="009E3144" w:rsidRPr="00DC34BB">
        <w:t xml:space="preserve"> </w:t>
      </w:r>
      <w:r w:rsidR="005D0BAD" w:rsidRPr="00DC34BB">
        <w:t xml:space="preserve">may be </w:t>
      </w:r>
      <w:r w:rsidR="00447DA1" w:rsidRPr="00DC34BB">
        <w:t>considered</w:t>
      </w:r>
      <w:commentRangeStart w:id="77"/>
      <w:r w:rsidR="00447DA1" w:rsidRPr="00DC34BB">
        <w:t>.</w:t>
      </w:r>
      <w:r w:rsidR="00106998" w:rsidRPr="00DC34BB">
        <w:rPr>
          <w:rStyle w:val="FootnoteReference"/>
        </w:rPr>
        <w:footnoteReference w:id="16"/>
      </w:r>
      <w:commentRangeEnd w:id="77"/>
      <w:r w:rsidR="00211F82" w:rsidRPr="00DC34BB">
        <w:rPr>
          <w:rStyle w:val="CommentReference"/>
        </w:rPr>
        <w:commentReference w:id="77"/>
      </w:r>
      <w:r w:rsidR="0036212D" w:rsidRPr="00DC34BB">
        <w:t xml:space="preserve"> </w:t>
      </w:r>
      <w:commentRangeStart w:id="78"/>
      <w:r w:rsidR="004572F2" w:rsidRPr="00DC34BB">
        <w:t xml:space="preserve">For a permit, for example, additional erosion control measures may need to be installed or implemented </w:t>
      </w:r>
      <w:r w:rsidR="00211597" w:rsidRPr="00DC34BB">
        <w:t xml:space="preserve">if erosion is observed despite existing erosion control measures. </w:t>
      </w:r>
      <w:r w:rsidR="00CC4C1C" w:rsidRPr="00DC34BB">
        <w:t xml:space="preserve">For a licence with </w:t>
      </w:r>
      <w:r w:rsidR="00B50987" w:rsidRPr="00DC34BB">
        <w:t>monitoring</w:t>
      </w:r>
      <w:r w:rsidR="009B032E" w:rsidRPr="00DC34BB">
        <w:t xml:space="preserve"> requirements, </w:t>
      </w:r>
      <w:r w:rsidR="006959EE" w:rsidRPr="00DC34BB">
        <w:t xml:space="preserve">for example, </w:t>
      </w:r>
      <w:r w:rsidR="00572E0A" w:rsidRPr="00DC34BB">
        <w:t xml:space="preserve">seepage from a waste management facility may need to be collected and treated prior </w:t>
      </w:r>
      <w:r w:rsidR="00462140" w:rsidRPr="00DC34BB">
        <w:t xml:space="preserve">to </w:t>
      </w:r>
      <w:r w:rsidR="00191CAC" w:rsidRPr="00DC34BB">
        <w:t xml:space="preserve">discharge if the seepage quality is </w:t>
      </w:r>
      <w:r w:rsidR="00237ADF" w:rsidRPr="00DC34BB">
        <w:t xml:space="preserve">not as good as predicted. </w:t>
      </w:r>
      <w:commentRangeEnd w:id="78"/>
    </w:p>
    <w:p w14:paraId="4B044486" w14:textId="0CFF6DC4" w:rsidR="004D6EF6" w:rsidRPr="00DC34BB" w:rsidRDefault="00506454" w:rsidP="00072357">
      <w:r w:rsidRPr="00DC34BB">
        <w:rPr>
          <w:rStyle w:val="CommentReference"/>
        </w:rPr>
        <w:commentReference w:id="78"/>
      </w:r>
      <w:commentRangeStart w:id="79"/>
      <w:r w:rsidR="00501522" w:rsidRPr="00DC34BB">
        <w:t>Licence</w:t>
      </w:r>
      <w:r w:rsidR="004D6EF6" w:rsidRPr="00DC34BB">
        <w:t xml:space="preserve"> conditions will typically set out </w:t>
      </w:r>
      <w:r w:rsidR="00937720" w:rsidRPr="00DC34BB">
        <w:t>initial</w:t>
      </w:r>
      <w:r w:rsidR="004D6EF6" w:rsidRPr="00DC34BB">
        <w:t xml:space="preserve"> general response actions for EQC exceedances</w:t>
      </w:r>
      <w:r w:rsidR="009E3144" w:rsidRPr="00DC34BB">
        <w:t>, if applicable</w:t>
      </w:r>
      <w:r w:rsidR="004D6EF6" w:rsidRPr="00DC34BB">
        <w:t xml:space="preserve">. </w:t>
      </w:r>
      <w:r w:rsidR="005D0BAD" w:rsidRPr="00DC34BB">
        <w:t xml:space="preserve">As noted in section 4.4 above, for </w:t>
      </w:r>
      <w:r w:rsidR="004D6EF6" w:rsidRPr="00DC34BB">
        <w:t xml:space="preserve">AEMPs, and in most cases, for any plans that include monitoring, the </w:t>
      </w:r>
      <w:r w:rsidR="004A64FE" w:rsidRPr="00DC34BB">
        <w:t>licensee</w:t>
      </w:r>
      <w:r w:rsidR="004D6EF6" w:rsidRPr="00DC34BB">
        <w:t xml:space="preserve"> will be required to develop a response framework outlining action levels and general response actions. </w:t>
      </w:r>
      <w:commentRangeStart w:id="80"/>
      <w:r w:rsidR="004D6EF6" w:rsidRPr="00DC34BB">
        <w:t>For some types of action levels, the licensee may also be required to submit more detailed response plans when action exceedances occur</w:t>
      </w:r>
      <w:commentRangeEnd w:id="80"/>
      <w:r w:rsidR="00E84BA8" w:rsidRPr="00DC34BB">
        <w:rPr>
          <w:rStyle w:val="CommentReference"/>
        </w:rPr>
        <w:commentReference w:id="80"/>
      </w:r>
      <w:r w:rsidR="004D6EF6" w:rsidRPr="00DC34BB">
        <w:t xml:space="preserve">. </w:t>
      </w:r>
      <w:bookmarkStart w:id="81" w:name="_Toc66300677"/>
      <w:bookmarkStart w:id="82" w:name="_Toc66546297"/>
      <w:bookmarkStart w:id="83" w:name="_Toc66559974"/>
      <w:bookmarkEnd w:id="81"/>
      <w:bookmarkEnd w:id="82"/>
      <w:bookmarkEnd w:id="83"/>
      <w:commentRangeEnd w:id="79"/>
      <w:r w:rsidR="00A04018" w:rsidRPr="00DC34BB">
        <w:rPr>
          <w:rStyle w:val="CommentReference"/>
        </w:rPr>
        <w:commentReference w:id="79"/>
      </w:r>
    </w:p>
    <w:p w14:paraId="1738FD1E" w14:textId="5D27A915" w:rsidR="004259C8" w:rsidRPr="00DC34BB" w:rsidRDefault="004259C8" w:rsidP="004D6EF6">
      <w:pPr>
        <w:pStyle w:val="Heading1"/>
      </w:pPr>
      <w:bookmarkStart w:id="84" w:name="_Information_Required_to"/>
      <w:bookmarkStart w:id="85" w:name="_Toc89615541"/>
      <w:bookmarkEnd w:id="84"/>
      <w:r w:rsidRPr="00DC34BB">
        <w:t>Information Required to Regulate the Deposit of Waste</w:t>
      </w:r>
      <w:bookmarkEnd w:id="85"/>
    </w:p>
    <w:p w14:paraId="6BF68284" w14:textId="4AA792C3" w:rsidR="00F02E59" w:rsidRPr="00DC34BB" w:rsidRDefault="00A10AAD" w:rsidP="00F02E59">
      <w:r w:rsidRPr="00DC34BB">
        <w:t>Licence and permit applications must include</w:t>
      </w:r>
      <w:r w:rsidRPr="00DC34BB" w:rsidDel="004D6EF6">
        <w:t xml:space="preserve"> </w:t>
      </w:r>
      <w:r w:rsidR="00F02E59" w:rsidRPr="00DC34BB">
        <w:t xml:space="preserve">the information necessary for the Board </w:t>
      </w:r>
      <w:commentRangeStart w:id="86"/>
      <w:r w:rsidR="00F02E59" w:rsidRPr="00DC34BB">
        <w:t xml:space="preserve">to </w:t>
      </w:r>
      <w:r w:rsidR="00311E99" w:rsidRPr="00DC34BB">
        <w:t>make its preliminary screening determination and</w:t>
      </w:r>
      <w:commentRangeEnd w:id="86"/>
      <w:r w:rsidR="00716E6C" w:rsidRPr="00DC34BB">
        <w:rPr>
          <w:rStyle w:val="CommentReference"/>
        </w:rPr>
        <w:commentReference w:id="86"/>
      </w:r>
      <w:r w:rsidR="00311E99" w:rsidRPr="00DC34BB">
        <w:t xml:space="preserve"> </w:t>
      </w:r>
      <w:r w:rsidR="00F02E59" w:rsidRPr="00DC34BB">
        <w:t xml:space="preserve">set appropriate licence </w:t>
      </w:r>
      <w:r w:rsidR="004519BD" w:rsidRPr="00DC34BB">
        <w:t xml:space="preserve">and/or </w:t>
      </w:r>
      <w:r w:rsidR="00547596" w:rsidRPr="00DC34BB">
        <w:t xml:space="preserve">permit </w:t>
      </w:r>
      <w:r w:rsidR="00F02E59" w:rsidRPr="00DC34BB">
        <w:t xml:space="preserve">conditions. </w:t>
      </w:r>
      <w:r w:rsidR="0081297A" w:rsidRPr="00DC34BB">
        <w:t>Detailed</w:t>
      </w:r>
      <w:r w:rsidR="00F02E59" w:rsidRPr="00DC34BB">
        <w:t xml:space="preserve"> information requirements are listed in the </w:t>
      </w:r>
      <w:r w:rsidR="005645A1" w:rsidRPr="00DC34BB">
        <w:t>A</w:t>
      </w:r>
      <w:r w:rsidR="00F02E59" w:rsidRPr="00DC34BB">
        <w:t xml:space="preserve">pplication </w:t>
      </w:r>
      <w:r w:rsidR="005645A1" w:rsidRPr="00DC34BB">
        <w:t>F</w:t>
      </w:r>
      <w:r w:rsidR="00F02E59" w:rsidRPr="00DC34BB">
        <w:t>orm</w:t>
      </w:r>
      <w:r w:rsidR="004519BD" w:rsidRPr="00DC34BB">
        <w:t>s</w:t>
      </w:r>
      <w:r w:rsidR="005645A1" w:rsidRPr="00DC34BB">
        <w:t xml:space="preserve">, with additional </w:t>
      </w:r>
      <w:r w:rsidR="0081297A" w:rsidRPr="00DC34BB">
        <w:t xml:space="preserve">guidance </w:t>
      </w:r>
      <w:r w:rsidR="005645A1" w:rsidRPr="00DC34BB">
        <w:t xml:space="preserve">provided in the </w:t>
      </w:r>
      <w:r w:rsidR="004519BD" w:rsidRPr="00DC34BB">
        <w:t>LWBs</w:t>
      </w:r>
      <w:r w:rsidR="005645A1" w:rsidRPr="00DC34BB">
        <w:t xml:space="preserve">’ </w:t>
      </w:r>
      <w:hyperlink r:id="rId50" w:history="1">
        <w:r w:rsidR="005645A1" w:rsidRPr="00DC34BB">
          <w:rPr>
            <w:rStyle w:val="Hyperlink"/>
            <w:i/>
            <w:iCs/>
          </w:rPr>
          <w:t>Guide to the Water Licensing Process</w:t>
        </w:r>
      </w:hyperlink>
      <w:r w:rsidR="004519BD" w:rsidRPr="00DC34BB">
        <w:rPr>
          <w:i/>
          <w:iCs/>
        </w:rPr>
        <w:t xml:space="preserve"> </w:t>
      </w:r>
      <w:r w:rsidR="004519BD" w:rsidRPr="00DC34BB">
        <w:t xml:space="preserve">and </w:t>
      </w:r>
      <w:hyperlink r:id="rId51" w:history="1">
        <w:r w:rsidR="004519BD" w:rsidRPr="00DC34BB">
          <w:rPr>
            <w:rStyle w:val="Hyperlink"/>
            <w:i/>
            <w:iCs/>
          </w:rPr>
          <w:t>Guide to the Land Use Permitting Process</w:t>
        </w:r>
      </w:hyperlink>
      <w:r w:rsidR="00F02E59" w:rsidRPr="00DC34BB">
        <w:t>.</w:t>
      </w:r>
      <w:r w:rsidR="00CA3D4E" w:rsidRPr="00DC34BB">
        <w:rPr>
          <w:rStyle w:val="FootnoteReference"/>
        </w:rPr>
        <w:footnoteReference w:id="17"/>
      </w:r>
      <w:r w:rsidR="00F02E59" w:rsidRPr="00DC34BB">
        <w:t xml:space="preserve"> This section of the Policy is only meant to highlight some specific types of information that the </w:t>
      </w:r>
      <w:r w:rsidR="004519BD" w:rsidRPr="00DC34BB">
        <w:t xml:space="preserve">LWBs </w:t>
      </w:r>
      <w:r w:rsidR="00F02E59" w:rsidRPr="00DC34BB">
        <w:t xml:space="preserve">consider when setting conditions that, collectively, will result in a licence </w:t>
      </w:r>
      <w:r w:rsidR="00D2589F" w:rsidRPr="00DC34BB">
        <w:t>and/</w:t>
      </w:r>
      <w:r w:rsidR="0022631A" w:rsidRPr="00DC34BB">
        <w:t xml:space="preserve">or </w:t>
      </w:r>
      <w:r w:rsidR="004F14C1" w:rsidRPr="00DC34BB">
        <w:t>permit</w:t>
      </w:r>
      <w:r w:rsidR="0022631A" w:rsidRPr="00DC34BB">
        <w:t xml:space="preserve"> </w:t>
      </w:r>
      <w:r w:rsidR="00F02E59" w:rsidRPr="00DC34BB">
        <w:t xml:space="preserve">that meets the objectives stated in </w:t>
      </w:r>
      <w:hyperlink w:anchor="_Objectives_for_Regulating" w:history="1">
        <w:r w:rsidR="00F02E59" w:rsidRPr="00DC34BB">
          <w:rPr>
            <w:rStyle w:val="Hyperlink"/>
          </w:rPr>
          <w:t xml:space="preserve">section </w:t>
        </w:r>
        <w:r w:rsidR="00D52E38" w:rsidRPr="00DC34BB">
          <w:rPr>
            <w:rStyle w:val="Hyperlink"/>
          </w:rPr>
          <w:t>3</w:t>
        </w:r>
      </w:hyperlink>
      <w:r w:rsidR="00F02E59" w:rsidRPr="00DC34BB">
        <w:t>.</w:t>
      </w:r>
    </w:p>
    <w:p w14:paraId="09487A6E" w14:textId="7E60A760" w:rsidR="004259C8" w:rsidRPr="00DC34BB" w:rsidRDefault="004259C8" w:rsidP="004259C8">
      <w:pPr>
        <w:pStyle w:val="Heading2"/>
        <w:numPr>
          <w:ilvl w:val="1"/>
          <w:numId w:val="9"/>
        </w:numPr>
      </w:pPr>
      <w:bookmarkStart w:id="87" w:name="_Information_Required_from"/>
      <w:bookmarkStart w:id="88" w:name="_Toc89615542"/>
      <w:bookmarkEnd w:id="87"/>
      <w:r w:rsidRPr="00DC34BB">
        <w:t xml:space="preserve">Information Required from </w:t>
      </w:r>
      <w:r w:rsidR="004A64FE" w:rsidRPr="00DC34BB">
        <w:t>Applicants</w:t>
      </w:r>
      <w:bookmarkEnd w:id="88"/>
    </w:p>
    <w:p w14:paraId="5B343D44" w14:textId="77777777" w:rsidR="00A777E3" w:rsidRPr="00DC34BB" w:rsidRDefault="00A777E3" w:rsidP="00A777E3">
      <w:r w:rsidRPr="00DC34BB">
        <w:t xml:space="preserve">The information described in this section are expected to be provided by the applicant, but it should reflect the engagement the applicant conducts while planning the project and developing the application. </w:t>
      </w:r>
    </w:p>
    <w:p w14:paraId="13FEE99C" w14:textId="06D550F7" w:rsidR="00834A00" w:rsidRPr="00DC34BB" w:rsidRDefault="005D0BAD" w:rsidP="00F02E59">
      <w:commentRangeStart w:id="89"/>
      <w:r w:rsidRPr="00DC34BB">
        <w:t xml:space="preserve">Early engagement is </w:t>
      </w:r>
      <w:r w:rsidR="00834A00" w:rsidRPr="00DC34BB">
        <w:t xml:space="preserve">key to gathering the information needed to develop an application or submission. Engagement must be conducted in accordance with the LWBs’ </w:t>
      </w:r>
      <w:hyperlink r:id="rId52" w:history="1">
        <w:r w:rsidR="00834A00" w:rsidRPr="00DC34BB">
          <w:rPr>
            <w:rStyle w:val="Hyperlink"/>
            <w:i/>
            <w:iCs/>
          </w:rPr>
          <w:t>Engagement and Consultation Policy</w:t>
        </w:r>
      </w:hyperlink>
      <w:r w:rsidR="00834A00" w:rsidRPr="00DC34BB">
        <w:t xml:space="preserve"> and </w:t>
      </w:r>
      <w:hyperlink r:id="rId53" w:history="1">
        <w:r w:rsidR="00834A00" w:rsidRPr="00DC34BB">
          <w:rPr>
            <w:rStyle w:val="Hyperlink"/>
            <w:i/>
            <w:iCs/>
          </w:rPr>
          <w:t>Engagement Guidelines for Applicants and Holders of Water Licences and Land Use Permits</w:t>
        </w:r>
      </w:hyperlink>
      <w:r w:rsidR="00A141B0" w:rsidRPr="00DC34BB">
        <w:t xml:space="preserve"> and should be reflected in the information provided in an application or submission</w:t>
      </w:r>
      <w:r w:rsidR="00834A00" w:rsidRPr="00DC34BB">
        <w:t xml:space="preserve">. </w:t>
      </w:r>
      <w:commentRangeEnd w:id="89"/>
      <w:r w:rsidR="00A141B0" w:rsidRPr="00DC34BB">
        <w:rPr>
          <w:rStyle w:val="CommentReference"/>
        </w:rPr>
        <w:commentReference w:id="89"/>
      </w:r>
    </w:p>
    <w:p w14:paraId="7FAEAED3" w14:textId="77777777" w:rsidR="008B0633" w:rsidRPr="00DC34BB" w:rsidRDefault="008B0633" w:rsidP="008B0633">
      <w:r w:rsidRPr="00DC34BB">
        <w:t xml:space="preserve">During a regulatory proceeding, the Board also provides opportunities for all parties to submit and/or present information to the Board regarding an application, and the Board will consider all of the evidence on the public record for the application when making its decision. </w:t>
      </w:r>
    </w:p>
    <w:p w14:paraId="3A175BA1" w14:textId="10F8A226" w:rsidR="00F02E59" w:rsidRPr="00DC34BB" w:rsidRDefault="00F02E59" w:rsidP="00F02E59">
      <w:r w:rsidRPr="00DC34BB">
        <w:lastRenderedPageBreak/>
        <w:t>The types of information required from</w:t>
      </w:r>
      <w:r w:rsidR="008202C6" w:rsidRPr="00DC34BB">
        <w:t xml:space="preserve"> </w:t>
      </w:r>
      <w:r w:rsidR="004D6EF6" w:rsidRPr="00DC34BB">
        <w:t xml:space="preserve">applicants </w:t>
      </w:r>
      <w:r w:rsidRPr="00DC34BB">
        <w:t>include, but are not limited to:</w:t>
      </w:r>
    </w:p>
    <w:p w14:paraId="759C06BB" w14:textId="029D6665" w:rsidR="0012744B" w:rsidRPr="00DC34BB" w:rsidRDefault="0012744B" w:rsidP="00F02E59">
      <w:pPr>
        <w:rPr>
          <w:i/>
          <w:iCs/>
          <w:u w:val="single"/>
        </w:rPr>
      </w:pPr>
      <w:r w:rsidRPr="00DC34BB">
        <w:rPr>
          <w:i/>
          <w:iCs/>
          <w:u w:val="single"/>
        </w:rPr>
        <w:t>All Applicants:</w:t>
      </w:r>
    </w:p>
    <w:p w14:paraId="1CC6808C" w14:textId="4CCE5F7B" w:rsidR="00005089" w:rsidRPr="00DC34BB" w:rsidRDefault="00005089" w:rsidP="00CA3D4E">
      <w:pPr>
        <w:pStyle w:val="ListParagraph"/>
        <w:numPr>
          <w:ilvl w:val="0"/>
          <w:numId w:val="12"/>
        </w:numPr>
        <w:ind w:left="720" w:hanging="360"/>
      </w:pPr>
      <w:commentRangeStart w:id="90"/>
      <w:r w:rsidRPr="00DC34BB">
        <w:t>Information on the potential environmental effects associated with each waste type for a project</w:t>
      </w:r>
      <w:r w:rsidR="00EA78D4" w:rsidRPr="00DC34BB">
        <w:t xml:space="preserve">, including consideration of climate change and cumulative </w:t>
      </w:r>
      <w:r w:rsidR="006A54E9" w:rsidRPr="00DC34BB">
        <w:t>impact</w:t>
      </w:r>
      <w:r w:rsidR="00EA78D4" w:rsidRPr="00DC34BB">
        <w:t>s</w:t>
      </w:r>
      <w:r w:rsidRPr="00DC34BB">
        <w:t>;</w:t>
      </w:r>
      <w:commentRangeEnd w:id="90"/>
      <w:r w:rsidR="007E7F36" w:rsidRPr="00DC34BB">
        <w:rPr>
          <w:rStyle w:val="CommentReference"/>
        </w:rPr>
        <w:commentReference w:id="90"/>
      </w:r>
    </w:p>
    <w:p w14:paraId="4CADDC87" w14:textId="3832EBAA" w:rsidR="00F02E59" w:rsidRPr="00DC34BB" w:rsidRDefault="00F02E59" w:rsidP="00CA3D4E">
      <w:pPr>
        <w:pStyle w:val="ListParagraph"/>
        <w:numPr>
          <w:ilvl w:val="0"/>
          <w:numId w:val="12"/>
        </w:numPr>
        <w:ind w:left="720" w:hanging="360"/>
      </w:pPr>
      <w:r w:rsidRPr="00DC34BB">
        <w:t>Information on proposed waste prevention</w:t>
      </w:r>
      <w:r w:rsidR="00BB42A7" w:rsidRPr="00DC34BB">
        <w:t>,</w:t>
      </w:r>
      <w:r w:rsidRPr="00DC34BB">
        <w:t xml:space="preserve"> minimization</w:t>
      </w:r>
      <w:r w:rsidR="001A32B1" w:rsidRPr="00DC34BB">
        <w:t>, and management</w:t>
      </w:r>
      <w:r w:rsidRPr="00DC34BB">
        <w:t xml:space="preserve"> measures for </w:t>
      </w:r>
      <w:r w:rsidR="00005089" w:rsidRPr="00DC34BB">
        <w:t>each waste type</w:t>
      </w:r>
      <w:r w:rsidRPr="00DC34BB">
        <w:t>;</w:t>
      </w:r>
    </w:p>
    <w:p w14:paraId="21499B3B" w14:textId="7AE68E88" w:rsidR="00DA2D89" w:rsidRPr="00DC34BB" w:rsidRDefault="00DA2D89" w:rsidP="00DA2D89">
      <w:pPr>
        <w:pStyle w:val="ListParagraph"/>
        <w:numPr>
          <w:ilvl w:val="0"/>
          <w:numId w:val="12"/>
        </w:numPr>
        <w:ind w:left="720" w:hanging="360"/>
      </w:pPr>
      <w:commentRangeStart w:id="91"/>
      <w:r w:rsidRPr="00DC34BB">
        <w:t>Proposed contingency plans</w:t>
      </w:r>
      <w:commentRangeEnd w:id="91"/>
      <w:r w:rsidRPr="00DC34BB">
        <w:rPr>
          <w:rStyle w:val="CommentReference"/>
        </w:rPr>
        <w:commentReference w:id="91"/>
      </w:r>
      <w:r w:rsidRPr="00DC34BB">
        <w:t>; and</w:t>
      </w:r>
    </w:p>
    <w:p w14:paraId="1FD4F483" w14:textId="0B124EC6" w:rsidR="00DA2D89" w:rsidRPr="00DC34BB" w:rsidRDefault="00DA2D89" w:rsidP="00DA2D89">
      <w:pPr>
        <w:pStyle w:val="ListParagraph"/>
        <w:numPr>
          <w:ilvl w:val="0"/>
          <w:numId w:val="12"/>
        </w:numPr>
        <w:ind w:left="720" w:hanging="360"/>
      </w:pPr>
      <w:commentRangeStart w:id="92"/>
      <w:r w:rsidRPr="00DC34BB">
        <w:t>Proposed closure plans for the site.</w:t>
      </w:r>
      <w:commentRangeEnd w:id="92"/>
      <w:r w:rsidRPr="00DC34BB">
        <w:rPr>
          <w:rStyle w:val="CommentReference"/>
        </w:rPr>
        <w:commentReference w:id="92"/>
      </w:r>
    </w:p>
    <w:p w14:paraId="15069217" w14:textId="6A03B715" w:rsidR="00DA2D89" w:rsidRPr="00DC34BB" w:rsidRDefault="006B099C" w:rsidP="00C5097A">
      <w:pPr>
        <w:rPr>
          <w:i/>
          <w:iCs/>
          <w:u w:val="single"/>
        </w:rPr>
      </w:pPr>
      <w:r w:rsidRPr="00DC34BB">
        <w:rPr>
          <w:i/>
          <w:iCs/>
          <w:u w:val="single"/>
        </w:rPr>
        <w:t>If Applicable:</w:t>
      </w:r>
    </w:p>
    <w:p w14:paraId="0F1D236C" w14:textId="48D85F4B" w:rsidR="00CD6404" w:rsidRPr="00DC34BB" w:rsidRDefault="00CD6404" w:rsidP="00CD6404">
      <w:pPr>
        <w:pStyle w:val="ListParagraph"/>
        <w:numPr>
          <w:ilvl w:val="0"/>
          <w:numId w:val="12"/>
        </w:numPr>
        <w:ind w:left="720" w:hanging="360"/>
      </w:pPr>
      <w:commentRangeStart w:id="93"/>
      <w:r w:rsidRPr="00DC34BB">
        <w:t xml:space="preserve">Proposed monitoring for assessing both performance of waste management and mitigation measures, and environmental effects; </w:t>
      </w:r>
      <w:commentRangeEnd w:id="93"/>
      <w:r w:rsidR="00BB69CA" w:rsidRPr="00DC34BB">
        <w:rPr>
          <w:rStyle w:val="CommentReference"/>
        </w:rPr>
        <w:commentReference w:id="93"/>
      </w:r>
    </w:p>
    <w:p w14:paraId="1202ADD4" w14:textId="758AABF4" w:rsidR="00F02E59" w:rsidRPr="00DC34BB" w:rsidRDefault="00F02E59" w:rsidP="00CA3D4E">
      <w:pPr>
        <w:pStyle w:val="ListParagraph"/>
        <w:numPr>
          <w:ilvl w:val="0"/>
          <w:numId w:val="12"/>
        </w:numPr>
        <w:ind w:left="720" w:hanging="360"/>
      </w:pPr>
      <w:r w:rsidRPr="00DC34BB">
        <w:t xml:space="preserve">Technically accurate predictions of the </w:t>
      </w:r>
      <w:commentRangeStart w:id="94"/>
      <w:r w:rsidR="001A32B1" w:rsidRPr="00DC34BB">
        <w:t xml:space="preserve">composition (including </w:t>
      </w:r>
      <w:r w:rsidRPr="00DC34BB">
        <w:t>concentration</w:t>
      </w:r>
      <w:r w:rsidR="00384AFB" w:rsidRPr="00DC34BB">
        <w:t>s, where applicable)</w:t>
      </w:r>
      <w:r w:rsidRPr="00DC34BB">
        <w:t xml:space="preserve"> </w:t>
      </w:r>
      <w:commentRangeEnd w:id="94"/>
      <w:r w:rsidR="00384AFB" w:rsidRPr="00DC34BB">
        <w:rPr>
          <w:rStyle w:val="CommentReference"/>
        </w:rPr>
        <w:commentReference w:id="94"/>
      </w:r>
      <w:r w:rsidRPr="00DC34BB">
        <w:t xml:space="preserve">and quantities of waste that the </w:t>
      </w:r>
      <w:r w:rsidR="00F91B76" w:rsidRPr="00DC34BB">
        <w:t xml:space="preserve">applicant </w:t>
      </w:r>
      <w:r w:rsidRPr="00DC34BB">
        <w:t>proposes to</w:t>
      </w:r>
      <w:r w:rsidR="005704A2" w:rsidRPr="00DC34BB">
        <w:t xml:space="preserve"> discharge or</w:t>
      </w:r>
      <w:r w:rsidRPr="00DC34BB">
        <w:t xml:space="preserve"> deposit after all feasible proposed waste prevention and management measures have been employed;</w:t>
      </w:r>
    </w:p>
    <w:p w14:paraId="7EF68FC5" w14:textId="7B1E9CD3" w:rsidR="00311E99" w:rsidRPr="00DC34BB" w:rsidRDefault="00F02E59" w:rsidP="00311E99">
      <w:pPr>
        <w:pStyle w:val="ListParagraph"/>
        <w:numPr>
          <w:ilvl w:val="0"/>
          <w:numId w:val="12"/>
        </w:numPr>
        <w:ind w:left="720" w:hanging="360"/>
      </w:pPr>
      <w:r w:rsidRPr="00DC34BB">
        <w:t>Predictions of how effluent, once discharged, will mix and disperse in the receiving environment;</w:t>
      </w:r>
      <w:r w:rsidR="000F1F1A" w:rsidRPr="00DC34BB">
        <w:rPr>
          <w:rStyle w:val="FootnoteReference"/>
        </w:rPr>
        <w:footnoteReference w:id="18"/>
      </w:r>
    </w:p>
    <w:p w14:paraId="2F710126" w14:textId="40A5681F" w:rsidR="00F02E59" w:rsidRPr="00DC34BB" w:rsidRDefault="00F02E59" w:rsidP="00311E99">
      <w:pPr>
        <w:pStyle w:val="ListParagraph"/>
        <w:numPr>
          <w:ilvl w:val="0"/>
          <w:numId w:val="10"/>
        </w:numPr>
      </w:pPr>
      <w:r w:rsidRPr="00DC34BB">
        <w:t xml:space="preserve">Recommended site-specific </w:t>
      </w:r>
      <w:r w:rsidR="00EA3FC8" w:rsidRPr="00DC34BB">
        <w:t>WQOs</w:t>
      </w:r>
      <w:r w:rsidR="004D6EF6" w:rsidRPr="00DC34BB">
        <w:t xml:space="preserve"> </w:t>
      </w:r>
      <w:r w:rsidRPr="00DC34BB">
        <w:t>for the project’s receiving environment</w:t>
      </w:r>
      <w:r w:rsidR="004D6EF6" w:rsidRPr="00DC34BB">
        <w:t>,</w:t>
      </w:r>
      <w:r w:rsidRPr="00DC34BB">
        <w:t xml:space="preserve"> including the evidence upon which the recommendations are based. During the licencing proce</w:t>
      </w:r>
      <w:r w:rsidR="00740234" w:rsidRPr="00DC34BB">
        <w:t>eding</w:t>
      </w:r>
      <w:r w:rsidRPr="00DC34BB">
        <w:t xml:space="preserve">, </w:t>
      </w:r>
      <w:r w:rsidR="00CD7587" w:rsidRPr="00DC34BB">
        <w:t xml:space="preserve">all parties will have the opportunity to </w:t>
      </w:r>
      <w:r w:rsidR="009B307F" w:rsidRPr="00DC34BB">
        <w:t>review</w:t>
      </w:r>
      <w:r w:rsidRPr="00DC34BB">
        <w:t xml:space="preserve"> the </w:t>
      </w:r>
      <w:r w:rsidR="004D6EF6" w:rsidRPr="00DC34BB">
        <w:t>applicant</w:t>
      </w:r>
      <w:r w:rsidRPr="00DC34BB">
        <w:t xml:space="preserve">’s proposed </w:t>
      </w:r>
      <w:r w:rsidR="00CF76CF" w:rsidRPr="00DC34BB">
        <w:t>WQOs</w:t>
      </w:r>
      <w:r w:rsidR="009C2F38" w:rsidRPr="00DC34BB">
        <w:t xml:space="preserve"> </w:t>
      </w:r>
      <w:r w:rsidR="00196D14" w:rsidRPr="00DC34BB">
        <w:t>before the Board makes a final decision on the WQOs for the site.</w:t>
      </w:r>
      <w:r w:rsidR="00196D14" w:rsidRPr="00DC34BB" w:rsidDel="00C51AE5">
        <w:t xml:space="preserve"> </w:t>
      </w:r>
      <w:r w:rsidR="004D6EF6" w:rsidRPr="00DC34BB">
        <w:t>Supporting information that the applicant should submit</w:t>
      </w:r>
      <w:r w:rsidR="0051031F" w:rsidRPr="00DC34BB">
        <w:t>, if available,</w:t>
      </w:r>
      <w:r w:rsidR="004D6EF6" w:rsidRPr="00DC34BB">
        <w:t xml:space="preserve"> for the Board’s consideration in setting site-specific </w:t>
      </w:r>
      <w:r w:rsidR="00C309D3" w:rsidRPr="00DC34BB">
        <w:t>WQOs</w:t>
      </w:r>
      <w:r w:rsidR="004D6EF6" w:rsidRPr="00DC34BB">
        <w:t xml:space="preserve"> includes, but is not limited to, the items listed below. </w:t>
      </w:r>
    </w:p>
    <w:p w14:paraId="5631C0BB" w14:textId="4C2EDE27" w:rsidR="00EC549E" w:rsidRPr="00DC34BB" w:rsidRDefault="0081297A" w:rsidP="000E35AA">
      <w:pPr>
        <w:pStyle w:val="ListParagraph"/>
        <w:numPr>
          <w:ilvl w:val="1"/>
          <w:numId w:val="10"/>
        </w:numPr>
      </w:pPr>
      <w:commentRangeStart w:id="95"/>
      <w:r w:rsidRPr="00DC34BB">
        <w:t>Existing</w:t>
      </w:r>
      <w:r w:rsidR="00F02E59" w:rsidRPr="00DC34BB">
        <w:t xml:space="preserve"> </w:t>
      </w:r>
      <w:commentRangeEnd w:id="95"/>
      <w:r w:rsidR="00F357A0" w:rsidRPr="00DC34BB">
        <w:rPr>
          <w:rStyle w:val="CommentReference"/>
        </w:rPr>
        <w:commentReference w:id="95"/>
      </w:r>
      <w:r w:rsidR="00F02E59" w:rsidRPr="00DC34BB">
        <w:t>(baseline) conditions of the receiving water</w:t>
      </w:r>
      <w:r w:rsidR="004A64FE" w:rsidRPr="00DC34BB">
        <w:t>course(</w:t>
      </w:r>
      <w:r w:rsidR="00F02E59" w:rsidRPr="00DC34BB">
        <w:t>s</w:t>
      </w:r>
      <w:r w:rsidR="004A64FE" w:rsidRPr="00DC34BB">
        <w:t>)</w:t>
      </w:r>
      <w:r w:rsidR="00F02E59" w:rsidRPr="00DC34BB">
        <w:t xml:space="preserve"> (e.g., water quality</w:t>
      </w:r>
      <w:r w:rsidR="001316C2" w:rsidRPr="00DC34BB">
        <w:t xml:space="preserve"> and</w:t>
      </w:r>
      <w:r w:rsidR="00F02E59" w:rsidRPr="00DC34BB">
        <w:t xml:space="preserve"> quantity as well as the resident species of plants, animals, and fish that live in or use the water);</w:t>
      </w:r>
    </w:p>
    <w:p w14:paraId="1F2A08DF" w14:textId="490769A3" w:rsidR="00EC549E" w:rsidRPr="00DC34BB" w:rsidRDefault="00F02E59" w:rsidP="004D6EF6">
      <w:pPr>
        <w:pStyle w:val="ListParagraph"/>
        <w:numPr>
          <w:ilvl w:val="1"/>
          <w:numId w:val="10"/>
        </w:numPr>
      </w:pPr>
      <w:r w:rsidRPr="00DC34BB">
        <w:t>Traditional Knowledge, including knowledge about the environment, knowledge about interacting with the environment, and environmental values;</w:t>
      </w:r>
      <w:commentRangeStart w:id="96"/>
      <w:r w:rsidR="00834A00" w:rsidRPr="00DC34BB">
        <w:rPr>
          <w:rStyle w:val="FootnoteReference"/>
        </w:rPr>
        <w:footnoteReference w:id="19"/>
      </w:r>
      <w:commentRangeEnd w:id="96"/>
      <w:r w:rsidR="00D9570A" w:rsidRPr="00DC34BB">
        <w:rPr>
          <w:rStyle w:val="CommentReference"/>
        </w:rPr>
        <w:commentReference w:id="96"/>
      </w:r>
    </w:p>
    <w:p w14:paraId="5D7E578C" w14:textId="6541CF14" w:rsidR="00EC549E" w:rsidRPr="00DC34BB" w:rsidRDefault="00F02E59" w:rsidP="004D6EF6">
      <w:pPr>
        <w:pStyle w:val="ListParagraph"/>
        <w:numPr>
          <w:ilvl w:val="1"/>
          <w:numId w:val="10"/>
        </w:numPr>
      </w:pPr>
      <w:r w:rsidRPr="00DC34BB">
        <w:t>Traditional and potential uses of the receiving water</w:t>
      </w:r>
      <w:r w:rsidR="004D6EF6" w:rsidRPr="00DC34BB">
        <w:t>courses</w:t>
      </w:r>
      <w:r w:rsidRPr="00DC34BB">
        <w:t xml:space="preserve"> (e.g., sustenance, recreational, cultural, etc.)</w:t>
      </w:r>
    </w:p>
    <w:p w14:paraId="4E59E1B3" w14:textId="3D0C3C0D" w:rsidR="00EC549E" w:rsidRPr="00DC34BB" w:rsidRDefault="00F02E59" w:rsidP="004D6EF6">
      <w:pPr>
        <w:pStyle w:val="ListParagraph"/>
        <w:numPr>
          <w:ilvl w:val="1"/>
          <w:numId w:val="10"/>
        </w:numPr>
      </w:pPr>
      <w:r w:rsidRPr="00DC34BB">
        <w:t xml:space="preserve">Cultural significance of the </w:t>
      </w:r>
      <w:r w:rsidR="004D6EF6" w:rsidRPr="00DC34BB">
        <w:t>watercourses</w:t>
      </w:r>
      <w:r w:rsidRPr="00DC34BB">
        <w:t xml:space="preserve"> to local residents;</w:t>
      </w:r>
    </w:p>
    <w:p w14:paraId="4E848462" w14:textId="77777777" w:rsidR="00EC549E" w:rsidRPr="00DC34BB" w:rsidRDefault="00F02E59" w:rsidP="004D6EF6">
      <w:pPr>
        <w:pStyle w:val="ListParagraph"/>
        <w:numPr>
          <w:ilvl w:val="1"/>
          <w:numId w:val="10"/>
        </w:numPr>
      </w:pPr>
      <w:r w:rsidRPr="00DC34BB">
        <w:t>Inputs of waste from other projects or activities located in the same watershed</w:t>
      </w:r>
      <w:r w:rsidR="00EC549E" w:rsidRPr="00DC34BB">
        <w:t xml:space="preserve"> </w:t>
      </w:r>
      <w:r w:rsidRPr="00DC34BB">
        <w:t>or region in order to evaluate potential cumulative effects;</w:t>
      </w:r>
    </w:p>
    <w:p w14:paraId="32A85876" w14:textId="383BC7D6" w:rsidR="00EC549E" w:rsidRPr="00DC34BB" w:rsidRDefault="00F02E59" w:rsidP="004D6EF6">
      <w:pPr>
        <w:pStyle w:val="ListParagraph"/>
        <w:numPr>
          <w:ilvl w:val="1"/>
          <w:numId w:val="10"/>
        </w:numPr>
      </w:pPr>
      <w:r w:rsidRPr="00DC34BB">
        <w:lastRenderedPageBreak/>
        <w:t>Published water quality guidelines (e.g., CCME Guidelines) and scientific studies that are relevant and appropriate for the receiving water</w:t>
      </w:r>
      <w:r w:rsidR="00761EBC" w:rsidRPr="00DC34BB">
        <w:t>courses</w:t>
      </w:r>
      <w:r w:rsidRPr="00DC34BB">
        <w:t>, based on the information listed above; and</w:t>
      </w:r>
    </w:p>
    <w:p w14:paraId="5AC522B8" w14:textId="337AD377" w:rsidR="00072357" w:rsidRPr="00DC34BB" w:rsidRDefault="00F02E59" w:rsidP="00953C9B">
      <w:pPr>
        <w:pStyle w:val="ListParagraph"/>
        <w:numPr>
          <w:ilvl w:val="1"/>
          <w:numId w:val="10"/>
        </w:numPr>
      </w:pPr>
      <w:r w:rsidRPr="00DC34BB">
        <w:t>Measures</w:t>
      </w:r>
      <w:r w:rsidR="00A141B0" w:rsidRPr="00DC34BB">
        <w:t xml:space="preserve">, </w:t>
      </w:r>
      <w:r w:rsidRPr="00DC34BB">
        <w:t>suggestions</w:t>
      </w:r>
      <w:r w:rsidR="00A141B0" w:rsidRPr="00DC34BB">
        <w:t xml:space="preserve">, </w:t>
      </w:r>
      <w:commentRangeStart w:id="97"/>
      <w:r w:rsidR="00A141B0" w:rsidRPr="00DC34BB">
        <w:t>and commitments</w:t>
      </w:r>
      <w:r w:rsidRPr="00DC34BB">
        <w:t xml:space="preserve">, </w:t>
      </w:r>
      <w:commentRangeEnd w:id="97"/>
      <w:r w:rsidR="00DC7CD2" w:rsidRPr="00DC34BB">
        <w:rPr>
          <w:rStyle w:val="CommentReference"/>
        </w:rPr>
        <w:commentReference w:id="97"/>
      </w:r>
      <w:r w:rsidRPr="00DC34BB">
        <w:t>including predictions and limits of</w:t>
      </w:r>
      <w:r w:rsidR="00EC549E" w:rsidRPr="00DC34BB">
        <w:t xml:space="preserve"> </w:t>
      </w:r>
      <w:r w:rsidRPr="00DC34BB">
        <w:t>acceptable change, listed in Reports of Environmental Assessment or Environmental Impact Review</w:t>
      </w:r>
      <w:r w:rsidR="00E06B8A" w:rsidRPr="00DC34BB">
        <w:t>.</w:t>
      </w:r>
    </w:p>
    <w:p w14:paraId="430838EE" w14:textId="13C55C7C" w:rsidR="007E7F36" w:rsidRPr="00DC34BB" w:rsidRDefault="00F02E59" w:rsidP="00F02E59">
      <w:r w:rsidRPr="00DC34BB">
        <w:t xml:space="preserve">In gathering information for their applications, </w:t>
      </w:r>
      <w:r w:rsidR="004D6EF6" w:rsidRPr="00DC34BB">
        <w:t xml:space="preserve">applicants </w:t>
      </w:r>
      <w:r w:rsidRPr="00DC34BB">
        <w:t xml:space="preserve">can and should avail themselves of relevant information that has already been collected by other parties or through other initiatives (e.g., governmental agencies, regional land use or water management plans). </w:t>
      </w:r>
    </w:p>
    <w:p w14:paraId="042CFD71" w14:textId="788ADE62" w:rsidR="00F02E59" w:rsidRPr="00DC34BB" w:rsidRDefault="00F02E59" w:rsidP="00F02E59">
      <w:r w:rsidRPr="00DC34BB">
        <w:t xml:space="preserve">While the same types of information will be required </w:t>
      </w:r>
      <w:r w:rsidR="00D634AF" w:rsidRPr="00DC34BB">
        <w:t xml:space="preserve">from </w:t>
      </w:r>
      <w:r w:rsidRPr="00DC34BB">
        <w:t xml:space="preserve">each </w:t>
      </w:r>
      <w:r w:rsidR="004D6EF6" w:rsidRPr="00DC34BB">
        <w:t>applicant</w:t>
      </w:r>
      <w:r w:rsidRPr="00DC34BB">
        <w:t>, the amount of detail required will often vary depending on the size, type, and duration of the project.</w:t>
      </w:r>
      <w:r w:rsidR="007E7F36" w:rsidRPr="00DC34BB">
        <w:t xml:space="preserve"> </w:t>
      </w:r>
      <w:commentRangeStart w:id="98"/>
      <w:r w:rsidR="00531B16" w:rsidRPr="00DC34BB">
        <w:t xml:space="preserve">Applicants for larger projects should also refer to the Mackenzie Valley Environmental Impact Review Board’s (Review Board) </w:t>
      </w:r>
      <w:r w:rsidR="00531B16" w:rsidRPr="00DC34BB">
        <w:rPr>
          <w:i/>
          <w:iCs/>
        </w:rPr>
        <w:t>Environmental Assessment Initiation Guidelines for Developers of Major Projects</w:t>
      </w:r>
      <w:r w:rsidR="00531B16" w:rsidRPr="00DC34BB">
        <w:t>.</w:t>
      </w:r>
      <w:r w:rsidR="00531B16" w:rsidRPr="00DC34BB">
        <w:rPr>
          <w:rStyle w:val="FootnoteReference"/>
        </w:rPr>
        <w:footnoteReference w:id="20"/>
      </w:r>
      <w:commentRangeEnd w:id="98"/>
      <w:r w:rsidR="00A7587E" w:rsidRPr="00DC34BB">
        <w:rPr>
          <w:rStyle w:val="CommentReference"/>
        </w:rPr>
        <w:commentReference w:id="98"/>
      </w:r>
    </w:p>
    <w:p w14:paraId="20266BB5" w14:textId="1AACA5D0" w:rsidR="00753AB9" w:rsidRPr="00DC34BB" w:rsidRDefault="00753AB9" w:rsidP="001205C2">
      <w:pPr>
        <w:pStyle w:val="Heading2"/>
      </w:pPr>
      <w:bookmarkStart w:id="99" w:name="_Toc89615544"/>
      <w:r w:rsidRPr="00DC34BB">
        <w:t>Consideration of Other Applicable Legislation</w:t>
      </w:r>
      <w:bookmarkEnd w:id="99"/>
    </w:p>
    <w:p w14:paraId="713A99FC" w14:textId="46897410" w:rsidR="00EC549E" w:rsidRPr="00DC34BB" w:rsidRDefault="00EC549E" w:rsidP="00EC549E">
      <w:r w:rsidRPr="00DC34BB">
        <w:t xml:space="preserve">In addition to the information sources discussed above, the </w:t>
      </w:r>
      <w:r w:rsidR="00C65412" w:rsidRPr="00DC34BB">
        <w:t xml:space="preserve">LWBs </w:t>
      </w:r>
      <w:r w:rsidRPr="00DC34BB">
        <w:t xml:space="preserve">recognize that there is other legislation that must be </w:t>
      </w:r>
      <w:r w:rsidR="00F2146D" w:rsidRPr="00DC34BB">
        <w:t>complied with</w:t>
      </w:r>
      <w:r w:rsidRPr="00DC34BB">
        <w:t xml:space="preserve">. For example, the </w:t>
      </w:r>
      <w:r w:rsidR="00D95463" w:rsidRPr="00DC34BB">
        <w:t xml:space="preserve">LWBs </w:t>
      </w:r>
      <w:r w:rsidRPr="00DC34BB">
        <w:t xml:space="preserve">may not include any conditions in licences relating to the deposit of waste that are less stringent than the provisions of </w:t>
      </w:r>
      <w:r w:rsidR="00017588" w:rsidRPr="00DC34BB">
        <w:t xml:space="preserve">applicable </w:t>
      </w:r>
      <w:r w:rsidRPr="00DC34BB">
        <w:t xml:space="preserve">regulations made under subsection 36(5) of the </w:t>
      </w:r>
      <w:r w:rsidRPr="00DC34BB">
        <w:rPr>
          <w:i/>
          <w:iCs/>
        </w:rPr>
        <w:t>Fisheries Act</w:t>
      </w:r>
      <w:r w:rsidRPr="00DC34BB">
        <w:t>.</w:t>
      </w:r>
      <w:r w:rsidR="00D348FF" w:rsidRPr="00DC34BB">
        <w:rPr>
          <w:rStyle w:val="FootnoteReference"/>
        </w:rPr>
        <w:footnoteReference w:id="21"/>
      </w:r>
    </w:p>
    <w:p w14:paraId="2F69125C" w14:textId="73327F47" w:rsidR="00753AB9" w:rsidRPr="00DC34BB" w:rsidRDefault="00EC549E" w:rsidP="00753AB9">
      <w:r w:rsidRPr="00DC34BB">
        <w:t xml:space="preserve">Note that </w:t>
      </w:r>
      <w:r w:rsidR="00F2146D" w:rsidRPr="00DC34BB">
        <w:t>applicants</w:t>
      </w:r>
      <w:r w:rsidR="008A2AC5" w:rsidRPr="00DC34BB">
        <w:t xml:space="preserve">, </w:t>
      </w:r>
      <w:r w:rsidR="00F2146D" w:rsidRPr="00DC34BB">
        <w:t>licensees</w:t>
      </w:r>
      <w:r w:rsidR="008A2AC5" w:rsidRPr="00DC34BB">
        <w:t>, and permittees</w:t>
      </w:r>
      <w:r w:rsidR="00F2146D" w:rsidRPr="00DC34BB">
        <w:t xml:space="preserve"> </w:t>
      </w:r>
      <w:r w:rsidRPr="00DC34BB">
        <w:t xml:space="preserve">must </w:t>
      </w:r>
      <w:r w:rsidR="00FF1FC5" w:rsidRPr="00DC34BB">
        <w:t>comply with</w:t>
      </w:r>
      <w:r w:rsidRPr="00DC34BB">
        <w:t xml:space="preserve"> all legal requirements (</w:t>
      </w:r>
      <w:commentRangeStart w:id="100"/>
      <w:r w:rsidRPr="00DC34BB">
        <w:t xml:space="preserve">e.g., </w:t>
      </w:r>
      <w:r w:rsidRPr="00DC34BB">
        <w:rPr>
          <w:i/>
          <w:iCs/>
        </w:rPr>
        <w:t>Fisheries Act</w:t>
      </w:r>
      <w:r w:rsidRPr="00DC34BB">
        <w:t xml:space="preserve">, Metal </w:t>
      </w:r>
      <w:r w:rsidR="00F2146D" w:rsidRPr="00DC34BB">
        <w:t xml:space="preserve">and Diamond </w:t>
      </w:r>
      <w:r w:rsidRPr="00DC34BB">
        <w:t xml:space="preserve">Mining Effluent Regulations, </w:t>
      </w:r>
      <w:r w:rsidR="00F2146D" w:rsidRPr="00DC34BB">
        <w:rPr>
          <w:i/>
          <w:iCs/>
        </w:rPr>
        <w:t>Oil and Gas Operations Act</w:t>
      </w:r>
      <w:r w:rsidR="00F2146D" w:rsidRPr="00DC34BB">
        <w:t xml:space="preserve">, </w:t>
      </w:r>
      <w:r w:rsidR="006A54E9" w:rsidRPr="00DC34BB">
        <w:rPr>
          <w:i/>
          <w:iCs/>
        </w:rPr>
        <w:t>Migratory Birds Convention Act</w:t>
      </w:r>
      <w:r w:rsidR="006A54E9" w:rsidRPr="00DC34BB">
        <w:t xml:space="preserve">, </w:t>
      </w:r>
      <w:r w:rsidR="006A54E9" w:rsidRPr="00DC34BB">
        <w:rPr>
          <w:i/>
          <w:iCs/>
        </w:rPr>
        <w:t>Archaeological Sites Act</w:t>
      </w:r>
      <w:r w:rsidR="006A54E9" w:rsidRPr="00DC34BB">
        <w:t xml:space="preserve"> and Regulations, </w:t>
      </w:r>
      <w:r w:rsidRPr="00DC34BB">
        <w:t>etc.</w:t>
      </w:r>
      <w:commentRangeEnd w:id="100"/>
      <w:r w:rsidR="001C4786" w:rsidRPr="00DC34BB">
        <w:rPr>
          <w:rStyle w:val="CommentReference"/>
        </w:rPr>
        <w:commentReference w:id="100"/>
      </w:r>
      <w:r w:rsidRPr="00DC34BB">
        <w:t>) relevant to their respective operation. It is the</w:t>
      </w:r>
      <w:r w:rsidR="00F2146D" w:rsidRPr="00DC34BB">
        <w:t xml:space="preserve"> applicant</w:t>
      </w:r>
      <w:r w:rsidR="00EC75C6" w:rsidRPr="00DC34BB">
        <w:t xml:space="preserve">, </w:t>
      </w:r>
      <w:r w:rsidR="00F2146D" w:rsidRPr="00DC34BB">
        <w:t>licensee</w:t>
      </w:r>
      <w:r w:rsidR="00EC75C6" w:rsidRPr="00DC34BB">
        <w:t>, or permittee</w:t>
      </w:r>
      <w:r w:rsidR="00F2146D" w:rsidRPr="00DC34BB">
        <w:t xml:space="preserve">’s </w:t>
      </w:r>
      <w:r w:rsidRPr="00DC34BB">
        <w:t>responsibility to be aware of and comply with these requirements</w:t>
      </w:r>
      <w:r w:rsidR="008868B5" w:rsidRPr="00DC34BB">
        <w:t xml:space="preserve">; </w:t>
      </w:r>
      <w:commentRangeStart w:id="101"/>
      <w:r w:rsidR="008868B5" w:rsidRPr="00DC34BB">
        <w:t>however, in developing licence</w:t>
      </w:r>
      <w:r w:rsidR="00F06497" w:rsidRPr="00DC34BB">
        <w:t xml:space="preserve"> </w:t>
      </w:r>
      <w:r w:rsidR="00DE20AB" w:rsidRPr="00DC34BB">
        <w:t xml:space="preserve">and </w:t>
      </w:r>
      <w:r w:rsidR="00F06497" w:rsidRPr="00DC34BB">
        <w:t>permit</w:t>
      </w:r>
      <w:r w:rsidR="008868B5" w:rsidRPr="00DC34BB">
        <w:t xml:space="preserve"> conditions, the </w:t>
      </w:r>
      <w:r w:rsidR="00DE20AB" w:rsidRPr="00DC34BB">
        <w:t>LWBs</w:t>
      </w:r>
      <w:r w:rsidR="008868B5" w:rsidRPr="00DC34BB">
        <w:t xml:space="preserve"> </w:t>
      </w:r>
      <w:r w:rsidR="009F6B91" w:rsidRPr="00DC34BB">
        <w:t>consider the evidence provided by other regulatory authorities regarding other regulatory requirements and attempt</w:t>
      </w:r>
      <w:r w:rsidR="008868B5" w:rsidRPr="00DC34BB">
        <w:t xml:space="preserve"> to minimize conflict and overlap</w:t>
      </w:r>
      <w:r w:rsidRPr="00DC34BB">
        <w:t>.</w:t>
      </w:r>
      <w:commentRangeEnd w:id="101"/>
      <w:r w:rsidR="003B2F35" w:rsidRPr="00DC34BB">
        <w:rPr>
          <w:rStyle w:val="CommentReference"/>
        </w:rPr>
        <w:commentReference w:id="101"/>
      </w:r>
    </w:p>
    <w:p w14:paraId="17F8A981" w14:textId="77FE529C" w:rsidR="004259C8" w:rsidRPr="00DC34BB" w:rsidRDefault="004259C8" w:rsidP="001205C2"/>
    <w:sectPr w:rsidR="004259C8" w:rsidRPr="00DC34BB" w:rsidSect="00AC02C4">
      <w:headerReference w:type="even" r:id="rId54"/>
      <w:headerReference w:type="default" r:id="rId55"/>
      <w:footerReference w:type="default" r:id="rId56"/>
      <w:headerReference w:type="first" r:id="rId57"/>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ndsey Cymbalisty" w:date="2022-01-26T12:39:00Z" w:initials="LCM">
    <w:p w14:paraId="58FE60AB" w14:textId="77777777" w:rsidR="00C326D8" w:rsidRDefault="00CD7088">
      <w:pPr>
        <w:pStyle w:val="CommentText"/>
        <w:jc w:val="left"/>
      </w:pPr>
      <w:r>
        <w:rPr>
          <w:rStyle w:val="CommentReference"/>
        </w:rPr>
        <w:annotationRef/>
      </w:r>
      <w:r w:rsidR="00C326D8">
        <w:t xml:space="preserve">This was formerly the </w:t>
      </w:r>
      <w:r w:rsidR="00C326D8">
        <w:rPr>
          <w:i/>
          <w:iCs/>
        </w:rPr>
        <w:t>Water and Effluent Quality Management Policy</w:t>
      </w:r>
      <w:r w:rsidR="00C326D8">
        <w:t xml:space="preserve">, which was first released in 2011 to describe the LWBs' approach to managing the deposit of waste through licence conditions, with a focus on effluent and EQC. This Policy now describes the LWBs' approach to managing all types of waste deposits in both licence and permit conditions. </w:t>
      </w:r>
    </w:p>
    <w:p w14:paraId="31CF68DF" w14:textId="77777777" w:rsidR="00C326D8" w:rsidRDefault="00C326D8">
      <w:pPr>
        <w:pStyle w:val="CommentText"/>
        <w:jc w:val="left"/>
      </w:pPr>
    </w:p>
    <w:p w14:paraId="7CF70A4D" w14:textId="77777777" w:rsidR="00C326D8" w:rsidRDefault="00C326D8" w:rsidP="00F005AD">
      <w:pPr>
        <w:pStyle w:val="CommentText"/>
        <w:jc w:val="left"/>
      </w:pPr>
      <w:r>
        <w:t>Additionally, since the Policy was first released, the LWBs have developed a number of related guidance documents that address many of the gaps identified in the first version of this Policy. The revised and expanded purpose, scope, and content of this Policy reflect this change in context.</w:t>
      </w:r>
    </w:p>
  </w:comment>
  <w:comment w:id="3" w:author="Lindsey Cymbalisty" w:date="2021-10-08T09:59:00Z" w:initials="LC-M">
    <w:p w14:paraId="555358B2" w14:textId="41242804" w:rsidR="00532CE4" w:rsidRDefault="00B9745F" w:rsidP="0082458C">
      <w:pPr>
        <w:pStyle w:val="CommentText"/>
        <w:jc w:val="left"/>
      </w:pPr>
      <w:r>
        <w:rPr>
          <w:rStyle w:val="CommentReference"/>
        </w:rPr>
        <w:annotationRef/>
      </w:r>
      <w:r w:rsidR="00532CE4">
        <w:t xml:space="preserve">Updated for consistency with current LWB guidance documents and legislation. </w:t>
      </w:r>
    </w:p>
  </w:comment>
  <w:comment w:id="5" w:author="Lindsey Cymbalisty" w:date="2022-01-29T21:29:00Z" w:initials="LC-M">
    <w:p w14:paraId="3AC29D8A" w14:textId="77777777" w:rsidR="00412EE7" w:rsidRDefault="00412EE7" w:rsidP="00DF5785">
      <w:pPr>
        <w:pStyle w:val="CommentText"/>
        <w:jc w:val="left"/>
      </w:pPr>
      <w:r>
        <w:rPr>
          <w:rStyle w:val="CommentReference"/>
        </w:rPr>
        <w:annotationRef/>
      </w:r>
      <w:r>
        <w:t>New.</w:t>
      </w:r>
    </w:p>
  </w:comment>
  <w:comment w:id="6" w:author="Lindsey Cymbalisty" w:date="2022-01-26T12:42:00Z" w:initials="LCM">
    <w:p w14:paraId="79D056F9" w14:textId="57227B64" w:rsidR="00CD7088" w:rsidRDefault="00CD7088">
      <w:pPr>
        <w:pStyle w:val="CommentText"/>
      </w:pPr>
      <w:r>
        <w:rPr>
          <w:rStyle w:val="CommentReference"/>
        </w:rPr>
        <w:annotationRef/>
      </w:r>
      <w:r>
        <w:t xml:space="preserve">Updated for consistency with </w:t>
      </w:r>
      <w:r w:rsidR="002F11A3">
        <w:t xml:space="preserve">the LWBs’ </w:t>
      </w:r>
      <w:r w:rsidRPr="002F11A3">
        <w:rPr>
          <w:i/>
          <w:iCs/>
        </w:rPr>
        <w:t xml:space="preserve">Standard </w:t>
      </w:r>
      <w:r w:rsidR="002F11A3">
        <w:rPr>
          <w:i/>
          <w:iCs/>
        </w:rPr>
        <w:t xml:space="preserve">Water </w:t>
      </w:r>
      <w:r w:rsidRPr="002F11A3">
        <w:rPr>
          <w:i/>
          <w:iCs/>
        </w:rPr>
        <w:t>Licence Conditions</w:t>
      </w:r>
      <w:r w:rsidR="002F11A3">
        <w:rPr>
          <w:i/>
          <w:iCs/>
        </w:rPr>
        <w:t xml:space="preserve"> and Schedules</w:t>
      </w:r>
      <w:r>
        <w:t xml:space="preserve"> </w:t>
      </w:r>
      <w:r w:rsidR="002F11A3">
        <w:t xml:space="preserve">(Standard Licence Conditions) </w:t>
      </w:r>
      <w:r>
        <w:t xml:space="preserve">and </w:t>
      </w:r>
      <w:r w:rsidR="002F11A3">
        <w:t xml:space="preserve">the MVLWB/GNWT </w:t>
      </w:r>
      <w:r w:rsidR="002F11A3" w:rsidRPr="002F11A3">
        <w:rPr>
          <w:i/>
          <w:iCs/>
        </w:rPr>
        <w:t>Guidelines for Aquatic Effects Monitoring Programs</w:t>
      </w:r>
      <w:r>
        <w:t>. Since the definition for ‘discharge’ has been added above, it is still clear that discharge is considered a deposit of waste and vice versa.</w:t>
      </w:r>
    </w:p>
  </w:comment>
  <w:comment w:id="7" w:author="Lindsey Cymbalisty" w:date="2022-01-26T12:43:00Z" w:initials="LCM">
    <w:p w14:paraId="2FBF05E1" w14:textId="6FF4B7F1" w:rsidR="00CD7088" w:rsidRDefault="00CD7088">
      <w:pPr>
        <w:pStyle w:val="CommentText"/>
      </w:pPr>
      <w:r>
        <w:rPr>
          <w:rStyle w:val="CommentReference"/>
        </w:rPr>
        <w:annotationRef/>
      </w:r>
      <w:r>
        <w:t xml:space="preserve">Updated for consistency with the MVLWB/GNWT </w:t>
      </w:r>
      <w:r w:rsidRPr="002F11A3">
        <w:rPr>
          <w:i/>
          <w:iCs/>
        </w:rPr>
        <w:t xml:space="preserve">Guidelines for </w:t>
      </w:r>
      <w:r w:rsidR="002F11A3" w:rsidRPr="002F11A3">
        <w:rPr>
          <w:i/>
          <w:iCs/>
        </w:rPr>
        <w:t xml:space="preserve">Effluent </w:t>
      </w:r>
      <w:r w:rsidRPr="002F11A3">
        <w:rPr>
          <w:i/>
          <w:iCs/>
        </w:rPr>
        <w:t>Mixing Zones</w:t>
      </w:r>
      <w:r>
        <w:t xml:space="preserve">. </w:t>
      </w:r>
    </w:p>
  </w:comment>
  <w:comment w:id="8" w:author="Lindsey Cymbalisty" w:date="2021-10-08T10:00:00Z" w:initials="LC-M">
    <w:p w14:paraId="14667B64" w14:textId="680EBF38" w:rsidR="0036145E" w:rsidRDefault="0036145E">
      <w:pPr>
        <w:pStyle w:val="CommentText"/>
      </w:pPr>
      <w:r>
        <w:rPr>
          <w:rStyle w:val="CommentReference"/>
        </w:rPr>
        <w:annotationRef/>
      </w:r>
      <w:r>
        <w:t>Added to reflect Standard Licence Conditions</w:t>
      </w:r>
      <w:r w:rsidR="00B11641">
        <w:t xml:space="preserve"> and to ensure that it is clear that groundwater is included in this Policy. </w:t>
      </w:r>
    </w:p>
  </w:comment>
  <w:comment w:id="9" w:author="Lindsey Cymbalisty" w:date="2021-04-15T15:32:00Z" w:initials="LCM">
    <w:p w14:paraId="4242CE82" w14:textId="39435EFF" w:rsidR="001E14C3" w:rsidRDefault="001E14C3">
      <w:pPr>
        <w:pStyle w:val="CommentText"/>
      </w:pPr>
      <w:r>
        <w:rPr>
          <w:rStyle w:val="CommentReference"/>
        </w:rPr>
        <w:annotationRef/>
      </w:r>
      <w:r>
        <w:t>Added</w:t>
      </w:r>
      <w:r w:rsidR="002F11A3">
        <w:t xml:space="preserve"> for consistency with</w:t>
      </w:r>
      <w:r>
        <w:t xml:space="preserve"> </w:t>
      </w:r>
      <w:r w:rsidR="002F11A3">
        <w:t xml:space="preserve">MVLWB/GNWT </w:t>
      </w:r>
      <w:r w:rsidR="002F11A3" w:rsidRPr="002F11A3">
        <w:rPr>
          <w:i/>
          <w:iCs/>
        </w:rPr>
        <w:t>Guidelines for Effluent Mixing Zones</w:t>
      </w:r>
    </w:p>
  </w:comment>
  <w:comment w:id="11" w:author="Lindsey Cymbalisty" w:date="2021-10-08T10:03:00Z" w:initials="LC-M">
    <w:p w14:paraId="0F3CAC1C" w14:textId="71655B29" w:rsidR="007E29D5" w:rsidRDefault="007E29D5">
      <w:pPr>
        <w:pStyle w:val="CommentText"/>
      </w:pPr>
      <w:r>
        <w:rPr>
          <w:rStyle w:val="CommentReference"/>
        </w:rPr>
        <w:annotationRef/>
      </w:r>
      <w:r w:rsidR="008D46D4">
        <w:t xml:space="preserve">Revised to reflect broader scope of </w:t>
      </w:r>
      <w:r w:rsidR="002F11A3">
        <w:t xml:space="preserve">this updated </w:t>
      </w:r>
      <w:r w:rsidR="008D46D4">
        <w:t xml:space="preserve">Policy and to follow </w:t>
      </w:r>
      <w:r w:rsidR="00C537CF">
        <w:t xml:space="preserve">the </w:t>
      </w:r>
      <w:r w:rsidR="008D46D4">
        <w:t xml:space="preserve">structure and format of current LWB guidance documents. </w:t>
      </w:r>
    </w:p>
  </w:comment>
  <w:comment w:id="14" w:author="Lindsey Cymbalisty" w:date="2022-01-26T12:56:00Z" w:initials="LCM">
    <w:p w14:paraId="6C3C5DFD" w14:textId="35A01020" w:rsidR="00D844D0" w:rsidRDefault="00D844D0">
      <w:pPr>
        <w:pStyle w:val="CommentText"/>
      </w:pPr>
      <w:r>
        <w:rPr>
          <w:rStyle w:val="CommentReference"/>
        </w:rPr>
        <w:annotationRef/>
      </w:r>
      <w:r>
        <w:t>All references to land use permits are new.</w:t>
      </w:r>
    </w:p>
  </w:comment>
  <w:comment w:id="15" w:author="Lindsey Cymbalisty" w:date="2021-06-14T11:44:00Z" w:initials="LCM">
    <w:p w14:paraId="3B1BC027" w14:textId="73CE1B22" w:rsidR="00CE386D" w:rsidRDefault="00CE386D" w:rsidP="00EB6CE0">
      <w:pPr>
        <w:pStyle w:val="CommentText"/>
      </w:pPr>
      <w:r>
        <w:rPr>
          <w:rStyle w:val="CommentReference"/>
        </w:rPr>
        <w:annotationRef/>
      </w:r>
      <w:r w:rsidR="00000843" w:rsidRPr="000C5F52">
        <w:t xml:space="preserve">Generally, proposing the term ‘discharge criteria’ (from </w:t>
      </w:r>
      <w:r w:rsidR="00000843">
        <w:t xml:space="preserve">the </w:t>
      </w:r>
      <w:r w:rsidR="00000843" w:rsidRPr="00426E20">
        <w:rPr>
          <w:i/>
          <w:iCs/>
        </w:rPr>
        <w:t>Guidelines for Effluent Mixing Zones</w:t>
      </w:r>
      <w:r w:rsidR="00000843" w:rsidRPr="000C5F52">
        <w:t>) to capture a broader range of options for conditions related to discharge requirements</w:t>
      </w:r>
      <w:r w:rsidR="008D5B66">
        <w:t xml:space="preserve">, rather than focusing </w:t>
      </w:r>
      <w:r w:rsidR="00834DA0">
        <w:t xml:space="preserve">specifically </w:t>
      </w:r>
      <w:r w:rsidR="008D5B66">
        <w:t>on effluent quality criteria</w:t>
      </w:r>
      <w:r w:rsidR="00000843" w:rsidRPr="000C5F52">
        <w:t>.</w:t>
      </w:r>
    </w:p>
  </w:comment>
  <w:comment w:id="16" w:author="Lindsey Cymbalisty" w:date="2022-01-26T12:50:00Z" w:initials="LCM">
    <w:p w14:paraId="6E211284" w14:textId="77777777" w:rsidR="00FB64EC" w:rsidRDefault="00E71E93" w:rsidP="002679F3">
      <w:pPr>
        <w:pStyle w:val="CommentText"/>
        <w:jc w:val="left"/>
      </w:pPr>
      <w:r>
        <w:rPr>
          <w:rStyle w:val="CommentReference"/>
        </w:rPr>
        <w:annotationRef/>
      </w:r>
      <w:r w:rsidR="00FB64EC">
        <w:t xml:space="preserve">This list is new and replaces the Appendix in the previous version of the Policy that listed guidance documents that needed to be developed to support the Policy. Many of the recommended guidance documents have since been completed. </w:t>
      </w:r>
    </w:p>
  </w:comment>
  <w:comment w:id="17" w:author="Lindsey Cymbalisty" w:date="2021-10-06T10:07:00Z" w:initials="LC-M">
    <w:p w14:paraId="365FBDD3" w14:textId="05D0548F" w:rsidR="00A77B46" w:rsidRDefault="002853B5" w:rsidP="006146D3">
      <w:pPr>
        <w:pStyle w:val="CommentText"/>
        <w:jc w:val="left"/>
      </w:pPr>
      <w:r>
        <w:rPr>
          <w:rStyle w:val="CommentReference"/>
        </w:rPr>
        <w:annotationRef/>
      </w:r>
      <w:r w:rsidR="00A77B46">
        <w:t xml:space="preserve">The EQC Appendix </w:t>
      </w:r>
      <w:r w:rsidR="00E71E93">
        <w:t>will be</w:t>
      </w:r>
      <w:r w:rsidR="00A77B46">
        <w:t xml:space="preserve"> pulled out of the </w:t>
      </w:r>
      <w:r w:rsidR="00E71E93" w:rsidRPr="00E71E93">
        <w:rPr>
          <w:i/>
          <w:iCs/>
        </w:rPr>
        <w:t>Guidelines for Effluent Mixing Zones</w:t>
      </w:r>
      <w:r w:rsidR="00A77B46">
        <w:t xml:space="preserve"> to be posted as a separate </w:t>
      </w:r>
      <w:r w:rsidR="00E71E93">
        <w:t xml:space="preserve">guidance </w:t>
      </w:r>
      <w:r w:rsidR="00A77B46">
        <w:t>document, since EQC are not only related to mixing zones. For the interim, it will only undergo administrative updates, but in the future, it will likely be reviewed and revised</w:t>
      </w:r>
      <w:r w:rsidR="00E71E93">
        <w:t xml:space="preserve">. </w:t>
      </w:r>
      <w:r w:rsidR="00A77B46">
        <w:t>This is the suggested title, but t</w:t>
      </w:r>
      <w:r w:rsidR="00E71E93">
        <w:t>he final title is t</w:t>
      </w:r>
      <w:r w:rsidR="00A77B46">
        <w:t xml:space="preserve">o be determined. </w:t>
      </w:r>
    </w:p>
  </w:comment>
  <w:comment w:id="18" w:author="Lindsey Cymbalisty" w:date="2021-03-01T10:11:00Z" w:initials="LC-M">
    <w:p w14:paraId="2E8A752A" w14:textId="06A2C9C9" w:rsidR="00CC0590" w:rsidRDefault="00E71E93" w:rsidP="00007E3C">
      <w:pPr>
        <w:pStyle w:val="CommentText"/>
        <w:jc w:val="left"/>
      </w:pPr>
      <w:r>
        <w:t xml:space="preserve">This reference is included because </w:t>
      </w:r>
      <w:r w:rsidR="000E2606">
        <w:rPr>
          <w:rStyle w:val="CommentReference"/>
        </w:rPr>
        <w:annotationRef/>
      </w:r>
      <w:r>
        <w:t>t</w:t>
      </w:r>
      <w:r w:rsidR="00CC0590">
        <w:t xml:space="preserve">he Policy should consider the entire life of a project. Expectations and requirements might need to be different </w:t>
      </w:r>
      <w:r>
        <w:t>after</w:t>
      </w:r>
      <w:r w:rsidR="00CC0590">
        <w:t xml:space="preserve"> closure. </w:t>
      </w:r>
    </w:p>
  </w:comment>
  <w:comment w:id="21" w:author="Lindsey Cymbalisty" w:date="2021-12-05T16:44:00Z" w:initials="LC-M">
    <w:p w14:paraId="2B6CE1FD" w14:textId="77777777" w:rsidR="00A13409" w:rsidRDefault="00A13409" w:rsidP="005A0DDD">
      <w:pPr>
        <w:pStyle w:val="CommentText"/>
        <w:jc w:val="left"/>
      </w:pPr>
      <w:r>
        <w:rPr>
          <w:rStyle w:val="CommentReference"/>
        </w:rPr>
        <w:annotationRef/>
      </w:r>
      <w:r>
        <w:t>Updated references to legislation are not tracked.</w:t>
      </w:r>
    </w:p>
  </w:comment>
  <w:comment w:id="22" w:author="Lindsey Cymbalisty" w:date="2021-10-04T21:23:00Z" w:initials="LC-M">
    <w:p w14:paraId="6F2CA6E7" w14:textId="77777777" w:rsidR="001A3469" w:rsidRDefault="00951BC4" w:rsidP="00EB0C41">
      <w:pPr>
        <w:pStyle w:val="CommentText"/>
        <w:jc w:val="left"/>
      </w:pPr>
      <w:r>
        <w:rPr>
          <w:rStyle w:val="CommentReference"/>
        </w:rPr>
        <w:annotationRef/>
      </w:r>
      <w:r w:rsidR="001A3469">
        <w:t xml:space="preserve">New. Provides a more general description of the LWBs’ authority regarding waste management conditions to reflect the new broader scope and purpose of the Policy. </w:t>
      </w:r>
    </w:p>
  </w:comment>
  <w:comment w:id="24" w:author="Lindsey Cymbalisty" w:date="2021-03-01T20:15:00Z" w:initials="LC-M">
    <w:p w14:paraId="14E55E5C" w14:textId="1F0BEA2D" w:rsidR="000E2606" w:rsidRDefault="000E2606">
      <w:pPr>
        <w:pStyle w:val="CommentText"/>
      </w:pPr>
      <w:r>
        <w:rPr>
          <w:rStyle w:val="CommentReference"/>
        </w:rPr>
        <w:annotationRef/>
      </w:r>
      <w:r>
        <w:t>From 2010</w:t>
      </w:r>
      <w:r w:rsidR="005F6B4D">
        <w:t xml:space="preserve"> and 2022.</w:t>
      </w:r>
    </w:p>
  </w:comment>
  <w:comment w:id="25" w:author="Lindsey Cymbalisty" w:date="2022-01-26T12:55:00Z" w:initials="LCM">
    <w:p w14:paraId="423C7E70" w14:textId="13E90561" w:rsidR="00D844D0" w:rsidRDefault="00D844D0">
      <w:pPr>
        <w:pStyle w:val="CommentText"/>
      </w:pPr>
      <w:r>
        <w:rPr>
          <w:rStyle w:val="CommentReference"/>
        </w:rPr>
        <w:annotationRef/>
      </w:r>
      <w:r>
        <w:t>New.</w:t>
      </w:r>
    </w:p>
  </w:comment>
  <w:comment w:id="27" w:author="Lindsey Cymbalisty" w:date="2021-06-16T12:06:00Z" w:initials="LCM">
    <w:p w14:paraId="0B085FBF" w14:textId="41261A7B" w:rsidR="00CD4C9A" w:rsidRDefault="00CD4C9A" w:rsidP="00DF3F8E">
      <w:pPr>
        <w:pStyle w:val="CommentText"/>
      </w:pPr>
      <w:r>
        <w:rPr>
          <w:rStyle w:val="CommentReference"/>
        </w:rPr>
        <w:annotationRef/>
      </w:r>
      <w:r>
        <w:t>Added to more accurately capture the content of the Policy</w:t>
      </w:r>
      <w:r w:rsidR="00B458CE">
        <w:t xml:space="preserve"> and to reflect the broader scope of the </w:t>
      </w:r>
      <w:r w:rsidR="00BD35D5">
        <w:t>revised Policy</w:t>
      </w:r>
      <w:r>
        <w:t xml:space="preserve">. </w:t>
      </w:r>
    </w:p>
  </w:comment>
  <w:comment w:id="28" w:author="Lindsey Cymbalisty" w:date="2021-06-15T20:33:00Z" w:initials="LC-M">
    <w:p w14:paraId="413721C0" w14:textId="44DEA68B" w:rsidR="004A250E" w:rsidRDefault="004A250E" w:rsidP="004A250E">
      <w:pPr>
        <w:pStyle w:val="CommentText"/>
        <w:jc w:val="left"/>
      </w:pPr>
      <w:r>
        <w:rPr>
          <w:rStyle w:val="CommentReference"/>
        </w:rPr>
        <w:annotationRef/>
      </w:r>
      <w:r w:rsidR="00BD35D5">
        <w:t>Updated</w:t>
      </w:r>
      <w:r>
        <w:t xml:space="preserve"> terminology </w:t>
      </w:r>
      <w:r w:rsidR="00BD35D5">
        <w:t xml:space="preserve">to </w:t>
      </w:r>
      <w:r w:rsidR="00892D8E">
        <w:t>reflect broader scope of the revised Policy, and to i</w:t>
      </w:r>
      <w:r>
        <w:t xml:space="preserve">nclude </w:t>
      </w:r>
      <w:r w:rsidR="00BD35D5">
        <w:t xml:space="preserve">consideration of </w:t>
      </w:r>
      <w:r>
        <w:t>evidence from the EA/EIR if applicable.</w:t>
      </w:r>
    </w:p>
  </w:comment>
  <w:comment w:id="33" w:author="Lindsey Cymbalisty" w:date="2022-01-26T12:57:00Z" w:initials="LCM">
    <w:p w14:paraId="089006FE" w14:textId="2332478E" w:rsidR="00D844D0" w:rsidRDefault="00D844D0">
      <w:pPr>
        <w:pStyle w:val="CommentText"/>
      </w:pPr>
      <w:r>
        <w:rPr>
          <w:rStyle w:val="CommentReference"/>
        </w:rPr>
        <w:annotationRef/>
      </w:r>
      <w:r>
        <w:t>New.</w:t>
      </w:r>
    </w:p>
  </w:comment>
  <w:comment w:id="34" w:author="Lindsey Cymbalisty" w:date="2022-01-26T12:58:00Z" w:initials="LCM">
    <w:p w14:paraId="3E6B061C" w14:textId="77777777" w:rsidR="005653AA" w:rsidRDefault="00D844D0">
      <w:pPr>
        <w:pStyle w:val="CommentText"/>
        <w:jc w:val="left"/>
      </w:pPr>
      <w:r>
        <w:rPr>
          <w:rStyle w:val="CommentReference"/>
        </w:rPr>
        <w:annotationRef/>
      </w:r>
      <w:r w:rsidR="005653AA">
        <w:t>New. The LWBs (and Review Board) do not have a standard definition for sustainable development. Typical definitions do not usually include climate change directly; however, incorporating it as proposed here is consistent with the intent of planning for the future generations, and is also consistent with how the term is used in the land use plans.</w:t>
      </w:r>
    </w:p>
    <w:p w14:paraId="2AD6452D" w14:textId="77777777" w:rsidR="005653AA" w:rsidRDefault="005653AA">
      <w:pPr>
        <w:pStyle w:val="CommentText"/>
        <w:jc w:val="left"/>
      </w:pPr>
    </w:p>
    <w:p w14:paraId="7928A37D" w14:textId="77777777" w:rsidR="005653AA" w:rsidRDefault="005653AA" w:rsidP="0082328F">
      <w:pPr>
        <w:pStyle w:val="CommentText"/>
        <w:jc w:val="left"/>
      </w:pPr>
      <w:r>
        <w:t xml:space="preserve">Cumulative effects also need to be considered and tie into the concept of sustainable development, so this is also included in the proposed revision to this principle. </w:t>
      </w:r>
    </w:p>
  </w:comment>
  <w:comment w:id="35" w:author="Lindsey Cymbalisty" w:date="2021-04-15T09:22:00Z" w:initials="LC-M">
    <w:p w14:paraId="142A19E6" w14:textId="2714F1F1" w:rsidR="00F557DB" w:rsidRDefault="000E2606" w:rsidP="00602BF1">
      <w:pPr>
        <w:pStyle w:val="CommentText"/>
      </w:pPr>
      <w:r>
        <w:rPr>
          <w:rStyle w:val="CommentReference"/>
        </w:rPr>
        <w:annotationRef/>
      </w:r>
      <w:r w:rsidR="00F557DB">
        <w:t>Remov</w:t>
      </w:r>
      <w:r w:rsidR="00D844D0">
        <w:t>ed</w:t>
      </w:r>
      <w:r w:rsidR="00F557DB">
        <w:t xml:space="preserve"> this qualifier to be more inclusive of all types of evidence that inform certainty. </w:t>
      </w:r>
    </w:p>
  </w:comment>
  <w:comment w:id="37" w:author="Lindsey Cymbalisty" w:date="2022-01-28T16:12:00Z" w:initials="LCM">
    <w:p w14:paraId="2BDDB79E" w14:textId="28BB1FB8" w:rsidR="00DD72E9" w:rsidRDefault="00DD72E9">
      <w:pPr>
        <w:pStyle w:val="CommentText"/>
      </w:pPr>
      <w:r>
        <w:rPr>
          <w:rStyle w:val="CommentReference"/>
        </w:rPr>
        <w:annotationRef/>
      </w:r>
      <w:r>
        <w:t>New.</w:t>
      </w:r>
    </w:p>
  </w:comment>
  <w:comment w:id="38" w:author="Lindsey Cymbalisty" w:date="2022-01-28T16:13:00Z" w:initials="LCM">
    <w:p w14:paraId="46F85DFA" w14:textId="3F492ABF" w:rsidR="005C1362" w:rsidRDefault="005C1362">
      <w:pPr>
        <w:pStyle w:val="CommentText"/>
      </w:pPr>
      <w:r>
        <w:rPr>
          <w:rStyle w:val="CommentReference"/>
        </w:rPr>
        <w:annotationRef/>
      </w:r>
      <w:r w:rsidR="00DC48F2">
        <w:t>New.</w:t>
      </w:r>
      <w:r>
        <w:t xml:space="preserve"> </w:t>
      </w:r>
    </w:p>
  </w:comment>
  <w:comment w:id="41" w:author="Lindsey Cymbalisty" w:date="2021-10-05T10:03:00Z" w:initials="LC-M">
    <w:p w14:paraId="5C5D87CE" w14:textId="046CDF10" w:rsidR="00375FFE" w:rsidRDefault="00375FFE" w:rsidP="00E27DA4">
      <w:pPr>
        <w:pStyle w:val="CommentText"/>
      </w:pPr>
      <w:r>
        <w:rPr>
          <w:rStyle w:val="CommentReference"/>
        </w:rPr>
        <w:annotationRef/>
      </w:r>
      <w:r w:rsidR="003406CC">
        <w:t xml:space="preserve">Text box updated to capture a broader range of ways that </w:t>
      </w:r>
      <w:r w:rsidR="001803DB">
        <w:t>water quality can be protected, not just EQC.</w:t>
      </w:r>
    </w:p>
    <w:p w14:paraId="462A0AB6" w14:textId="77777777" w:rsidR="00FC293C" w:rsidRDefault="00FC293C">
      <w:pPr>
        <w:pStyle w:val="CommentText"/>
      </w:pPr>
    </w:p>
    <w:p w14:paraId="7E2A475C" w14:textId="447C7162" w:rsidR="00FC293C" w:rsidRDefault="00FC293C">
      <w:pPr>
        <w:pStyle w:val="CommentText"/>
      </w:pPr>
      <w:r>
        <w:t>As noted earlier,</w:t>
      </w:r>
      <w:r w:rsidRPr="000C5F52">
        <w:t xml:space="preserve"> proposing the term ‘discharge criteria’ (from </w:t>
      </w:r>
      <w:r>
        <w:t xml:space="preserve">the </w:t>
      </w:r>
      <w:r w:rsidRPr="00426E20">
        <w:rPr>
          <w:i/>
          <w:iCs/>
        </w:rPr>
        <w:t>Guidelines for Effluent Mixing Zones</w:t>
      </w:r>
      <w:r w:rsidRPr="000C5F52">
        <w:t>) to capture a broader range of options for licence conditions related to discharge requirements.</w:t>
      </w:r>
    </w:p>
  </w:comment>
  <w:comment w:id="42" w:author="Lindsey Cymbalisty" w:date="2021-09-30T21:30:00Z" w:initials="LC-M">
    <w:p w14:paraId="3C711369" w14:textId="77777777" w:rsidR="00185E39" w:rsidRDefault="00C24699" w:rsidP="008D02F3">
      <w:pPr>
        <w:pStyle w:val="CommentText"/>
        <w:jc w:val="left"/>
      </w:pPr>
      <w:r>
        <w:rPr>
          <w:rStyle w:val="CommentReference"/>
        </w:rPr>
        <w:annotationRef/>
      </w:r>
      <w:r w:rsidR="00185E39">
        <w:t xml:space="preserve">This objective and the accompanying text box are new. This addition is proposed for consistency with the LWBs' </w:t>
      </w:r>
      <w:r w:rsidR="00185E39">
        <w:rPr>
          <w:i/>
          <w:iCs/>
        </w:rPr>
        <w:t>Guidelines for Developing a Waste Management Plan</w:t>
      </w:r>
      <w:r w:rsidR="00185E39">
        <w:t xml:space="preserve">, to reflect the </w:t>
      </w:r>
      <w:r w:rsidR="00185E39">
        <w:rPr>
          <w:i/>
          <w:iCs/>
        </w:rPr>
        <w:t>Standard Land Use Permit Conditions</w:t>
      </w:r>
      <w:r w:rsidR="00185E39">
        <w:t>, and to be more inclusive of the range of projects that the LWBs must consider.</w:t>
      </w:r>
    </w:p>
  </w:comment>
  <w:comment w:id="43" w:author="Lindsey Cymbalisty" w:date="2021-03-15T09:43:00Z" w:initials="LC-M">
    <w:p w14:paraId="66AB74CF" w14:textId="59026934" w:rsidR="000E2606" w:rsidRDefault="000E2606" w:rsidP="00270DEF">
      <w:pPr>
        <w:pStyle w:val="CommentText"/>
      </w:pPr>
      <w:r>
        <w:rPr>
          <w:rStyle w:val="CommentReference"/>
        </w:rPr>
        <w:annotationRef/>
      </w:r>
      <w:r w:rsidR="00CC3FEA">
        <w:t>This addition is proposed because:</w:t>
      </w:r>
    </w:p>
    <w:p w14:paraId="1C2D86A6" w14:textId="1FBFA201" w:rsidR="000E2606" w:rsidRDefault="00CC3FEA" w:rsidP="00270DEF">
      <w:pPr>
        <w:pStyle w:val="CommentText"/>
        <w:numPr>
          <w:ilvl w:val="0"/>
          <w:numId w:val="31"/>
        </w:numPr>
      </w:pPr>
      <w:r>
        <w:t xml:space="preserve">The LWBs </w:t>
      </w:r>
      <w:r w:rsidR="000E2606">
        <w:t xml:space="preserve">expect applicants to </w:t>
      </w:r>
      <w:r>
        <w:t xml:space="preserve">plan and </w:t>
      </w:r>
      <w:r w:rsidR="000E2606">
        <w:t xml:space="preserve">design for closure, </w:t>
      </w:r>
      <w:r w:rsidR="00D110FA">
        <w:t>even at the application stage</w:t>
      </w:r>
      <w:r w:rsidR="000E2606">
        <w:t xml:space="preserve">, so </w:t>
      </w:r>
      <w:r w:rsidR="00D110FA">
        <w:t>licences and permits are not solely</w:t>
      </w:r>
      <w:r w:rsidR="000E2606">
        <w:t xml:space="preserve"> about what is acceptable during operations.</w:t>
      </w:r>
    </w:p>
    <w:p w14:paraId="5EE12177" w14:textId="20B45EE1" w:rsidR="000E2606" w:rsidRDefault="00DC3AC0" w:rsidP="00270DEF">
      <w:pPr>
        <w:pStyle w:val="CommentText"/>
        <w:numPr>
          <w:ilvl w:val="0"/>
          <w:numId w:val="31"/>
        </w:numPr>
      </w:pPr>
      <w:r>
        <w:t>Licences</w:t>
      </w:r>
      <w:r w:rsidR="00E11C4D">
        <w:t>,</w:t>
      </w:r>
      <w:r>
        <w:t xml:space="preserve"> in particular</w:t>
      </w:r>
      <w:r w:rsidR="00E11C4D">
        <w:t>,</w:t>
      </w:r>
      <w:r w:rsidR="00D23F7D">
        <w:t xml:space="preserve"> </w:t>
      </w:r>
      <w:r>
        <w:t>should</w:t>
      </w:r>
      <w:r w:rsidR="000E2606">
        <w:t xml:space="preserve"> incorporate some flexibility to allow for the possibility that different WQOs might be acceptable at closure to eliminate the need for perpetual treatment. This would be determined on a case-by-case basis through the </w:t>
      </w:r>
      <w:r w:rsidR="00E11C4D">
        <w:t>Closure and Reclamation Plan.</w:t>
      </w:r>
    </w:p>
  </w:comment>
  <w:comment w:id="44" w:author="Lindsey Cymbalisty" w:date="2021-06-16T12:25:00Z" w:initials="LCM">
    <w:p w14:paraId="7D1265FD" w14:textId="55F0E4E9" w:rsidR="00917FB1" w:rsidRDefault="00917FB1">
      <w:pPr>
        <w:pStyle w:val="CommentText"/>
      </w:pPr>
      <w:r>
        <w:rPr>
          <w:rStyle w:val="CommentReference"/>
        </w:rPr>
        <w:annotationRef/>
      </w:r>
      <w:r>
        <w:t xml:space="preserve">Added to elaborate on the previous sentence, since </w:t>
      </w:r>
      <w:r w:rsidR="00FA5E88">
        <w:t>management and closure</w:t>
      </w:r>
      <w:r>
        <w:t xml:space="preserve"> plans</w:t>
      </w:r>
      <w:r w:rsidR="00FA5E88">
        <w:t xml:space="preserve"> often</w:t>
      </w:r>
      <w:r>
        <w:t xml:space="preserve"> evolve over the life of the project</w:t>
      </w:r>
      <w:r w:rsidR="00E6319F">
        <w:t xml:space="preserve">. This addition also </w:t>
      </w:r>
      <w:r w:rsidR="007F1CBB">
        <w:t>relates to the concepts in</w:t>
      </w:r>
      <w:r>
        <w:t xml:space="preserve"> section 4.5.</w:t>
      </w:r>
    </w:p>
  </w:comment>
  <w:comment w:id="47" w:author="Lindsey Cymbalisty" w:date="2022-01-28T16:25:00Z" w:initials="LCM">
    <w:p w14:paraId="699F8F18" w14:textId="6C36305B" w:rsidR="00F53AFE" w:rsidRDefault="00F53AFE">
      <w:pPr>
        <w:pStyle w:val="CommentText"/>
      </w:pPr>
      <w:r>
        <w:rPr>
          <w:rStyle w:val="CommentReference"/>
        </w:rPr>
        <w:annotationRef/>
      </w:r>
      <w:r>
        <w:t>New.</w:t>
      </w:r>
    </w:p>
  </w:comment>
  <w:comment w:id="49" w:author="Lindsey Cymbalisty" w:date="2022-01-28T16:27:00Z" w:initials="LCM">
    <w:p w14:paraId="2E668FDA" w14:textId="3CF3E2A5" w:rsidR="00D126D0" w:rsidRPr="00CD7D4F" w:rsidRDefault="00D126D0">
      <w:pPr>
        <w:pStyle w:val="CommentText"/>
      </w:pPr>
      <w:r>
        <w:rPr>
          <w:rStyle w:val="CommentReference"/>
        </w:rPr>
        <w:annotationRef/>
      </w:r>
      <w:r>
        <w:t xml:space="preserve">Updated </w:t>
      </w:r>
      <w:r w:rsidR="003F0E7C">
        <w:t xml:space="preserve">section </w:t>
      </w:r>
      <w:r>
        <w:t xml:space="preserve">to reflect the LWBs’ </w:t>
      </w:r>
      <w:r w:rsidRPr="00825EC4">
        <w:rPr>
          <w:i/>
          <w:iCs/>
        </w:rPr>
        <w:t>Guidelines for Developing a Waste Management Pla</w:t>
      </w:r>
      <w:r w:rsidR="00CD7D4F">
        <w:rPr>
          <w:i/>
          <w:iCs/>
        </w:rPr>
        <w:t>n</w:t>
      </w:r>
      <w:r w:rsidR="003F0E7C">
        <w:t>.</w:t>
      </w:r>
    </w:p>
  </w:comment>
  <w:comment w:id="50" w:author="Lindsey Cymbalisty" w:date="2021-09-30T22:03:00Z" w:initials="LC-M">
    <w:p w14:paraId="30F34B39" w14:textId="06D36F83" w:rsidR="005E0DCB" w:rsidRDefault="005E0DCB">
      <w:pPr>
        <w:pStyle w:val="CommentText"/>
      </w:pPr>
      <w:r>
        <w:rPr>
          <w:rStyle w:val="CommentReference"/>
        </w:rPr>
        <w:annotationRef/>
      </w:r>
      <w:r w:rsidR="00E20110">
        <w:t>New. Added to reflect</w:t>
      </w:r>
      <w:r>
        <w:t xml:space="preserve"> proposed </w:t>
      </w:r>
      <w:r w:rsidR="00EF5BAB">
        <w:t xml:space="preserve">new </w:t>
      </w:r>
      <w:r>
        <w:t>objective above.</w:t>
      </w:r>
    </w:p>
  </w:comment>
  <w:comment w:id="52" w:author="Lindsey Cymbalisty" w:date="2022-01-28T16:31:00Z" w:initials="LCM">
    <w:p w14:paraId="004F003B" w14:textId="77777777" w:rsidR="003D3485" w:rsidRDefault="00C81212" w:rsidP="00961B4D">
      <w:pPr>
        <w:pStyle w:val="CommentText"/>
        <w:jc w:val="left"/>
      </w:pPr>
      <w:r>
        <w:rPr>
          <w:rStyle w:val="CommentReference"/>
        </w:rPr>
        <w:annotationRef/>
      </w:r>
      <w:r w:rsidR="003D3485">
        <w:t>Moved up for more logical sequence. Updated section to reflect current LWB expectations and Standard Licence and Permit Conditions.</w:t>
      </w:r>
    </w:p>
  </w:comment>
  <w:comment w:id="53" w:author="Lindsey Cymbalisty" w:date="2021-10-15T12:46:00Z" w:initials="LCM">
    <w:p w14:paraId="06D56131" w14:textId="71C8776D" w:rsidR="00360AB4" w:rsidRDefault="00360AB4">
      <w:pPr>
        <w:pStyle w:val="CommentText"/>
      </w:pPr>
      <w:r>
        <w:rPr>
          <w:rStyle w:val="CommentReference"/>
        </w:rPr>
        <w:annotationRef/>
      </w:r>
      <w:r>
        <w:t xml:space="preserve">These additional plans are typically only required in licences. In permits, the plan requirements are typically limited to the three core management plans mentioned above (and an Engagement Plan). </w:t>
      </w:r>
    </w:p>
  </w:comment>
  <w:comment w:id="54" w:author="Lindsey Cymbalisty" w:date="2022-01-28T17:00:00Z" w:initials="LCM">
    <w:p w14:paraId="204D5EAF" w14:textId="5BA0A8CD" w:rsidR="009828D8" w:rsidRDefault="009828D8">
      <w:pPr>
        <w:pStyle w:val="CommentText"/>
      </w:pPr>
      <w:r>
        <w:rPr>
          <w:rStyle w:val="CommentReference"/>
        </w:rPr>
        <w:annotationRef/>
      </w:r>
      <w:r>
        <w:t>New.</w:t>
      </w:r>
    </w:p>
  </w:comment>
  <w:comment w:id="56" w:author="Lindsey Cymbalisty" w:date="2021-06-14T12:38:00Z" w:initials="LCM">
    <w:p w14:paraId="40561426" w14:textId="1B8377DA" w:rsidR="006C0505" w:rsidRDefault="006C0505">
      <w:pPr>
        <w:pStyle w:val="CommentText"/>
      </w:pPr>
      <w:r>
        <w:rPr>
          <w:rStyle w:val="CommentReference"/>
        </w:rPr>
        <w:annotationRef/>
      </w:r>
      <w:r w:rsidR="0072659D">
        <w:t>This section was formerly limited to EQC</w:t>
      </w:r>
      <w:r w:rsidR="00222FF6">
        <w:t xml:space="preserve"> and has been expanded to include other types of discharge criteria</w:t>
      </w:r>
      <w:r w:rsidR="00FC2DED">
        <w:t xml:space="preserve">. This section has also been updated to reflect the MVLWB/GNWT </w:t>
      </w:r>
      <w:r w:rsidR="00FC2DED" w:rsidRPr="00DD4AD9">
        <w:rPr>
          <w:i/>
          <w:iCs/>
        </w:rPr>
        <w:t>Guidelines for Effluent Mixing Zones</w:t>
      </w:r>
      <w:r w:rsidR="00FC2DED">
        <w:t xml:space="preserve">, and the </w:t>
      </w:r>
      <w:r w:rsidR="00721E5D" w:rsidRPr="00DD4AD9">
        <w:rPr>
          <w:i/>
          <w:iCs/>
        </w:rPr>
        <w:t>Standard Process for Setting Effluent Quality Criteria</w:t>
      </w:r>
      <w:r w:rsidR="00DD4AD9">
        <w:t xml:space="preserve"> (</w:t>
      </w:r>
      <w:r w:rsidR="00721E5D">
        <w:t xml:space="preserve">which will be </w:t>
      </w:r>
      <w:r w:rsidR="00DD4AD9">
        <w:t xml:space="preserve">extracted as previously noted). </w:t>
      </w:r>
    </w:p>
  </w:comment>
  <w:comment w:id="57" w:author="Lindsey Cymbalisty" w:date="2021-06-14T12:39:00Z" w:initials="LCM">
    <w:p w14:paraId="6C7E76FC" w14:textId="77777777" w:rsidR="000666CF" w:rsidRDefault="00D80E06">
      <w:pPr>
        <w:pStyle w:val="CommentText"/>
      </w:pPr>
      <w:r>
        <w:rPr>
          <w:rStyle w:val="CommentReference"/>
        </w:rPr>
        <w:annotationRef/>
      </w:r>
      <w:r>
        <w:t>Revised to reflect change in terminology</w:t>
      </w:r>
    </w:p>
  </w:comment>
  <w:comment w:id="58" w:author="Lindsey Cymbalisty" w:date="2021-06-14T12:40:00Z" w:initials="LCM">
    <w:p w14:paraId="1DBBBFA4" w14:textId="7B4C720C" w:rsidR="006C0505" w:rsidRDefault="006C0505">
      <w:pPr>
        <w:pStyle w:val="CommentText"/>
      </w:pPr>
      <w:r>
        <w:rPr>
          <w:rStyle w:val="CommentReference"/>
        </w:rPr>
        <w:annotationRef/>
      </w:r>
      <w:r w:rsidR="00411290">
        <w:t>Although this is not typical, it is sometimes necessary for</w:t>
      </w:r>
      <w:r w:rsidR="00FB01EF">
        <w:t xml:space="preserve"> municipal</w:t>
      </w:r>
      <w:r w:rsidR="00E41662">
        <w:t xml:space="preserve"> and smaller licences</w:t>
      </w:r>
      <w:r w:rsidR="00C32845">
        <w:t>, usually for non-point-source discharge</w:t>
      </w:r>
      <w:r w:rsidR="00E41662">
        <w:t>.</w:t>
      </w:r>
    </w:p>
  </w:comment>
  <w:comment w:id="59" w:author="Lindsey Cymbalisty" w:date="2022-02-03T10:29:00Z" w:initials="LC-M">
    <w:p w14:paraId="2A96B334" w14:textId="77777777" w:rsidR="00551060" w:rsidRDefault="00551060" w:rsidP="001E20D6">
      <w:pPr>
        <w:pStyle w:val="CommentText"/>
        <w:jc w:val="left"/>
      </w:pPr>
      <w:r>
        <w:rPr>
          <w:rStyle w:val="CommentReference"/>
        </w:rPr>
        <w:annotationRef/>
      </w:r>
      <w:r>
        <w:t>New.</w:t>
      </w:r>
    </w:p>
  </w:comment>
  <w:comment w:id="60" w:author="Lindsey Cymbalisty" w:date="2022-01-29T22:12:00Z" w:initials="LC-M">
    <w:p w14:paraId="195E4281" w14:textId="726594E0" w:rsidR="00571B9F" w:rsidRDefault="00571B9F" w:rsidP="00F22055">
      <w:pPr>
        <w:pStyle w:val="CommentText"/>
        <w:jc w:val="left"/>
      </w:pPr>
      <w:r>
        <w:rPr>
          <w:rStyle w:val="CommentReference"/>
        </w:rPr>
        <w:annotationRef/>
      </w:r>
      <w:r>
        <w:t>New.</w:t>
      </w:r>
    </w:p>
  </w:comment>
  <w:comment w:id="61" w:author="Lindsey Cymbalisty" w:date="2022-01-30T20:54:00Z" w:initials="LC-M">
    <w:p w14:paraId="168C2EF7" w14:textId="77777777" w:rsidR="00546B4B" w:rsidRDefault="00546B4B" w:rsidP="00061E0A">
      <w:pPr>
        <w:pStyle w:val="CommentText"/>
        <w:jc w:val="left"/>
      </w:pPr>
      <w:r>
        <w:rPr>
          <w:rStyle w:val="CommentReference"/>
        </w:rPr>
        <w:annotationRef/>
      </w:r>
      <w:r>
        <w:t xml:space="preserve">Added to reflect definition. </w:t>
      </w:r>
    </w:p>
  </w:comment>
  <w:comment w:id="62" w:author="Lindsey Cymbalisty" w:date="2021-06-15T12:50:00Z" w:initials="LCM">
    <w:p w14:paraId="5B13A7C0" w14:textId="1AF288A2" w:rsidR="00110C74" w:rsidRDefault="00110C74" w:rsidP="004105ED">
      <w:pPr>
        <w:pStyle w:val="CommentText"/>
      </w:pPr>
      <w:r w:rsidRPr="005E3F10">
        <w:rPr>
          <w:rStyle w:val="CommentReference"/>
          <w:highlight w:val="magenta"/>
        </w:rPr>
        <w:annotationRef/>
      </w:r>
      <w:r w:rsidR="00C34666">
        <w:t>P</w:t>
      </w:r>
      <w:r w:rsidR="00A76112">
        <w:t>roposed for consideration.</w:t>
      </w:r>
    </w:p>
  </w:comment>
  <w:comment w:id="63" w:author="Lindsey Cymbalisty" w:date="2022-01-29T22:12:00Z" w:initials="LC-M">
    <w:p w14:paraId="03067CFB" w14:textId="77777777" w:rsidR="00571B9F" w:rsidRDefault="00571B9F" w:rsidP="00125966">
      <w:pPr>
        <w:pStyle w:val="CommentText"/>
        <w:jc w:val="left"/>
      </w:pPr>
      <w:r>
        <w:rPr>
          <w:rStyle w:val="CommentReference"/>
        </w:rPr>
        <w:annotationRef/>
      </w:r>
      <w:r>
        <w:t xml:space="preserve">New. </w:t>
      </w:r>
    </w:p>
  </w:comment>
  <w:comment w:id="64" w:author="Lindsey Cymbalisty" w:date="2022-01-28T16:37:00Z" w:initials="LCM">
    <w:p w14:paraId="669DB687" w14:textId="2AF54E93" w:rsidR="003873B1" w:rsidRDefault="003873B1">
      <w:pPr>
        <w:pStyle w:val="CommentText"/>
      </w:pPr>
      <w:r>
        <w:rPr>
          <w:rStyle w:val="CommentReference"/>
        </w:rPr>
        <w:annotationRef/>
      </w:r>
      <w:r>
        <w:t>New. Reflect</w:t>
      </w:r>
      <w:r w:rsidR="00467AE7">
        <w:t>s</w:t>
      </w:r>
      <w:r>
        <w:t xml:space="preserve"> Standard Licence Conditions. </w:t>
      </w:r>
    </w:p>
  </w:comment>
  <w:comment w:id="65" w:author="Lindsey Cymbalisty" w:date="2022-01-30T20:59:00Z" w:initials="LC-M">
    <w:p w14:paraId="78FAD1EE" w14:textId="77777777" w:rsidR="00C7798A" w:rsidRDefault="005A6F97" w:rsidP="004816C3">
      <w:pPr>
        <w:pStyle w:val="CommentText"/>
        <w:jc w:val="left"/>
      </w:pPr>
      <w:r>
        <w:rPr>
          <w:rStyle w:val="CommentReference"/>
        </w:rPr>
        <w:annotationRef/>
      </w:r>
      <w:r w:rsidR="00C7798A">
        <w:t xml:space="preserve">This figure could be moved to the </w:t>
      </w:r>
      <w:r w:rsidR="00C7798A">
        <w:rPr>
          <w:i/>
          <w:iCs/>
        </w:rPr>
        <w:t>Standard Process for Setting EQC,</w:t>
      </w:r>
      <w:r w:rsidR="00C7798A">
        <w:t xml:space="preserve"> or could be updated and expanded to include a non-point-source example. </w:t>
      </w:r>
    </w:p>
  </w:comment>
  <w:comment w:id="69" w:author="Lindsey Cymbalisty" w:date="2022-01-28T16:41:00Z" w:initials="LCM">
    <w:p w14:paraId="43DCF40F" w14:textId="4954927E" w:rsidR="000C3AC0" w:rsidRDefault="000C3AC0">
      <w:pPr>
        <w:pStyle w:val="CommentText"/>
      </w:pPr>
      <w:r>
        <w:rPr>
          <w:rStyle w:val="CommentReference"/>
        </w:rPr>
        <w:annotationRef/>
      </w:r>
      <w:r>
        <w:t>New.</w:t>
      </w:r>
    </w:p>
  </w:comment>
  <w:comment w:id="70" w:author="Lindsey Cymbalisty" w:date="2022-01-30T21:07:00Z" w:initials="LC-M">
    <w:p w14:paraId="175C21C3" w14:textId="77777777" w:rsidR="00B01B85" w:rsidRDefault="00B01B85" w:rsidP="001D2D42">
      <w:pPr>
        <w:pStyle w:val="CommentText"/>
        <w:jc w:val="left"/>
      </w:pPr>
      <w:r>
        <w:rPr>
          <w:rStyle w:val="CommentReference"/>
        </w:rPr>
        <w:annotationRef/>
      </w:r>
      <w:r>
        <w:t xml:space="preserve">New. </w:t>
      </w:r>
    </w:p>
  </w:comment>
  <w:comment w:id="71" w:author="Lindsey Cymbalisty" w:date="2022-01-28T16:43:00Z" w:initials="LCM">
    <w:p w14:paraId="7ECE5CA5" w14:textId="4487F4A1" w:rsidR="00923B51" w:rsidRDefault="00923B51">
      <w:pPr>
        <w:pStyle w:val="CommentText"/>
      </w:pPr>
      <w:r>
        <w:rPr>
          <w:rStyle w:val="CommentReference"/>
        </w:rPr>
        <w:annotationRef/>
      </w:r>
      <w:r w:rsidR="00467AE7">
        <w:t>New</w:t>
      </w:r>
      <w:r w:rsidR="004B2F5B">
        <w:t xml:space="preserve"> paragraph</w:t>
      </w:r>
      <w:r w:rsidR="004411FF">
        <w:t xml:space="preserve"> to reflect </w:t>
      </w:r>
      <w:r w:rsidR="004B2F5B">
        <w:t xml:space="preserve">current LWB expectations and Standard Licence and Permit Conditions. </w:t>
      </w:r>
    </w:p>
  </w:comment>
  <w:comment w:id="72" w:author="Lindsey Cymbalisty" w:date="2022-01-28T16:44:00Z" w:initials="LCM">
    <w:p w14:paraId="37874F82" w14:textId="3700A269" w:rsidR="0010146E" w:rsidRDefault="0010146E">
      <w:pPr>
        <w:pStyle w:val="CommentText"/>
      </w:pPr>
      <w:r>
        <w:rPr>
          <w:rStyle w:val="CommentReference"/>
        </w:rPr>
        <w:annotationRef/>
      </w:r>
      <w:r>
        <w:t xml:space="preserve">This paragraph has been updated to reflect the MVLWB/GNWT </w:t>
      </w:r>
      <w:r w:rsidRPr="0010146E">
        <w:rPr>
          <w:i/>
          <w:iCs/>
        </w:rPr>
        <w:t>Guidelines for Aquatic Effects Monitoring Programs</w:t>
      </w:r>
      <w:r>
        <w:t xml:space="preserve">. </w:t>
      </w:r>
    </w:p>
  </w:comment>
  <w:comment w:id="73" w:author="Lindsey Cymbalisty" w:date="2022-01-28T16:45:00Z" w:initials="LCM">
    <w:p w14:paraId="130665FD" w14:textId="44202330" w:rsidR="008C6161" w:rsidRDefault="008C6161">
      <w:pPr>
        <w:pStyle w:val="CommentText"/>
      </w:pPr>
      <w:r>
        <w:rPr>
          <w:rStyle w:val="CommentReference"/>
        </w:rPr>
        <w:annotationRef/>
      </w:r>
      <w:r>
        <w:t xml:space="preserve">New. </w:t>
      </w:r>
    </w:p>
  </w:comment>
  <w:comment w:id="76" w:author="Lindsey Cymbalisty" w:date="2021-10-02T16:02:00Z" w:initials="LC-M">
    <w:p w14:paraId="2487BD5E" w14:textId="49D3D330" w:rsidR="00CF1C34" w:rsidRDefault="00CF1C34" w:rsidP="0028113D">
      <w:pPr>
        <w:pStyle w:val="CommentText"/>
      </w:pPr>
      <w:r>
        <w:rPr>
          <w:rStyle w:val="CommentReference"/>
        </w:rPr>
        <w:annotationRef/>
      </w:r>
      <w:r>
        <w:t xml:space="preserve">Added to </w:t>
      </w:r>
      <w:r w:rsidR="002F0B69">
        <w:t>capture less quantitative monitoring, like surveillance and inspections</w:t>
      </w:r>
      <w:r w:rsidR="005D0BAD">
        <w:t xml:space="preserve">, that may be included in some conditions or plans. </w:t>
      </w:r>
    </w:p>
  </w:comment>
  <w:comment w:id="77" w:author="Lindsey Cymbalisty" w:date="2022-01-28T16:46:00Z" w:initials="LCM">
    <w:p w14:paraId="5E8A7FC2" w14:textId="7AD0C730" w:rsidR="00211F82" w:rsidRDefault="00211F82">
      <w:pPr>
        <w:pStyle w:val="CommentText"/>
      </w:pPr>
      <w:r>
        <w:rPr>
          <w:rStyle w:val="CommentReference"/>
        </w:rPr>
        <w:annotationRef/>
      </w:r>
      <w:r>
        <w:t>New.</w:t>
      </w:r>
    </w:p>
  </w:comment>
  <w:comment w:id="78" w:author="Lindsey Cymbalisty" w:date="2021-10-02T16:19:00Z" w:initials="LC-M">
    <w:p w14:paraId="2C185C6C" w14:textId="77777777" w:rsidR="00E90FC0" w:rsidRDefault="00506454" w:rsidP="00271D55">
      <w:pPr>
        <w:pStyle w:val="CommentText"/>
        <w:jc w:val="left"/>
      </w:pPr>
      <w:r>
        <w:rPr>
          <w:rStyle w:val="CommentReference"/>
        </w:rPr>
        <w:annotationRef/>
      </w:r>
      <w:r w:rsidR="00E90FC0">
        <w:t>New. The intent of adding these general examples is to illustrate that adaptive management is not only related to quantitative monitoring results.</w:t>
      </w:r>
    </w:p>
  </w:comment>
  <w:comment w:id="80" w:author="Lindsey Cymbalisty" w:date="2022-01-30T21:22:00Z" w:initials="LC-M">
    <w:p w14:paraId="602517CA" w14:textId="77777777" w:rsidR="00E84BA8" w:rsidRDefault="00E84BA8" w:rsidP="009C3FB5">
      <w:pPr>
        <w:pStyle w:val="CommentText"/>
        <w:jc w:val="left"/>
      </w:pPr>
      <w:r>
        <w:rPr>
          <w:rStyle w:val="CommentReference"/>
        </w:rPr>
        <w:annotationRef/>
      </w:r>
      <w:r>
        <w:t>Reporting low action levels through the annual report is a new approach (for AEMPs, in particular) and older licences may still have requirements for response plans for low action levels. Accordingly, this statement has been left broad to capture variations in response plan requirements in AEMPs and other types of plans.</w:t>
      </w:r>
    </w:p>
  </w:comment>
  <w:comment w:id="79" w:author="Lindsey Cymbalisty" w:date="2022-01-28T16:49:00Z" w:initials="LCM">
    <w:p w14:paraId="0A9D3F62" w14:textId="0A0E9BF1" w:rsidR="00A04018" w:rsidRDefault="00A04018">
      <w:pPr>
        <w:pStyle w:val="CommentText"/>
      </w:pPr>
      <w:r>
        <w:rPr>
          <w:rStyle w:val="CommentReference"/>
        </w:rPr>
        <w:annotationRef/>
      </w:r>
      <w:r>
        <w:t xml:space="preserve">New. Reflects current LWB expectations and </w:t>
      </w:r>
      <w:r w:rsidR="00716E6C">
        <w:t xml:space="preserve">Standard Licence Conditions. </w:t>
      </w:r>
    </w:p>
  </w:comment>
  <w:comment w:id="86" w:author="Lindsey Cymbalisty" w:date="2022-01-28T16:50:00Z" w:initials="LCM">
    <w:p w14:paraId="03B60A58" w14:textId="13BDA0CC" w:rsidR="00716E6C" w:rsidRDefault="00716E6C">
      <w:pPr>
        <w:pStyle w:val="CommentText"/>
      </w:pPr>
      <w:r>
        <w:rPr>
          <w:rStyle w:val="CommentReference"/>
        </w:rPr>
        <w:annotationRef/>
      </w:r>
      <w:r>
        <w:t>New.</w:t>
      </w:r>
    </w:p>
  </w:comment>
  <w:comment w:id="89" w:author="Lindsey Cymbalisty" w:date="2021-10-15T16:21:00Z" w:initials="LCM">
    <w:p w14:paraId="3044DBA0" w14:textId="3E1753DE" w:rsidR="00A141B0" w:rsidRDefault="00A141B0">
      <w:pPr>
        <w:pStyle w:val="CommentText"/>
      </w:pPr>
      <w:r>
        <w:rPr>
          <w:rStyle w:val="CommentReference"/>
        </w:rPr>
        <w:annotationRef/>
      </w:r>
      <w:r w:rsidR="00692D9D">
        <w:t xml:space="preserve">New. </w:t>
      </w:r>
      <w:r>
        <w:t xml:space="preserve">Replaces the </w:t>
      </w:r>
      <w:r w:rsidR="00692D9D">
        <w:t>previous “</w:t>
      </w:r>
      <w:r>
        <w:t>Participation</w:t>
      </w:r>
      <w:r w:rsidR="00692D9D">
        <w:t>”</w:t>
      </w:r>
      <w:r>
        <w:t xml:space="preserve"> section, since the details of engagement expectations are now provided in the </w:t>
      </w:r>
      <w:r w:rsidR="00F45E43">
        <w:t xml:space="preserve">LWBs’ Engagement </w:t>
      </w:r>
      <w:r>
        <w:t>Policy and Guideline</w:t>
      </w:r>
      <w:r w:rsidR="00692D9D">
        <w:t xml:space="preserve">s </w:t>
      </w:r>
      <w:r>
        <w:t xml:space="preserve">and are outside of the scope of the Waste Management Policy. </w:t>
      </w:r>
    </w:p>
  </w:comment>
  <w:comment w:id="90" w:author="Lindsey Cymbalisty" w:date="2021-04-15T12:31:00Z" w:initials="LCM">
    <w:p w14:paraId="1B7D053A" w14:textId="67DB9E96" w:rsidR="007E7F36" w:rsidRDefault="007E7F36" w:rsidP="005C783F">
      <w:pPr>
        <w:pStyle w:val="CommentText"/>
      </w:pPr>
      <w:r>
        <w:rPr>
          <w:rStyle w:val="CommentReference"/>
        </w:rPr>
        <w:annotationRef/>
      </w:r>
      <w:r w:rsidR="00EB69F2">
        <w:t xml:space="preserve">Added to reflect the LWBs’ </w:t>
      </w:r>
      <w:r w:rsidR="00EB69F2">
        <w:rPr>
          <w:i/>
          <w:iCs/>
        </w:rPr>
        <w:t xml:space="preserve">Guidelines for Developing a Waste Management Plan, </w:t>
      </w:r>
      <w:r w:rsidR="00EB69F2">
        <w:t>current Application Forms,</w:t>
      </w:r>
      <w:r w:rsidR="00EB69F2">
        <w:rPr>
          <w:i/>
          <w:iCs/>
        </w:rPr>
        <w:t xml:space="preserve"> </w:t>
      </w:r>
      <w:r w:rsidR="00EB69F2">
        <w:t xml:space="preserve">and the Review Board’s draft </w:t>
      </w:r>
      <w:r w:rsidR="00EB69F2">
        <w:rPr>
          <w:i/>
          <w:iCs/>
        </w:rPr>
        <w:t>Environmental Impact Assessment Initiation Guidelines</w:t>
      </w:r>
      <w:r w:rsidR="00EB69F2">
        <w:t>. May require updates to reflect upcoming revisions.</w:t>
      </w:r>
    </w:p>
  </w:comment>
  <w:comment w:id="91" w:author="Lindsey Cymbalisty" w:date="2021-06-16T15:59:00Z" w:initials="LCM">
    <w:p w14:paraId="47B50368" w14:textId="783FA010" w:rsidR="00DA2D89" w:rsidRDefault="00DA2D89" w:rsidP="00E403A2">
      <w:pPr>
        <w:pStyle w:val="CommentText"/>
      </w:pPr>
      <w:r>
        <w:rPr>
          <w:rStyle w:val="CommentReference"/>
        </w:rPr>
        <w:annotationRef/>
      </w:r>
      <w:r w:rsidR="005D17F5">
        <w:t xml:space="preserve">Added to reflect the LWBs’ </w:t>
      </w:r>
      <w:r w:rsidR="005D17F5" w:rsidRPr="00B42136">
        <w:rPr>
          <w:i/>
          <w:iCs/>
        </w:rPr>
        <w:t xml:space="preserve">Standard Outline for Management Plans </w:t>
      </w:r>
      <w:r w:rsidR="005D17F5">
        <w:t>and Standard Licence Conditions Schedules.</w:t>
      </w:r>
    </w:p>
  </w:comment>
  <w:comment w:id="92" w:author="Lindsey Cymbalisty" w:date="2021-04-15T12:30:00Z" w:initials="LCM">
    <w:p w14:paraId="5971BD22" w14:textId="60669048" w:rsidR="00DA2D89" w:rsidRDefault="00DA2D89" w:rsidP="00DA2D89">
      <w:pPr>
        <w:pStyle w:val="CommentText"/>
      </w:pPr>
      <w:r>
        <w:rPr>
          <w:rStyle w:val="CommentReference"/>
        </w:rPr>
        <w:annotationRef/>
      </w:r>
      <w:r w:rsidR="00DD395B">
        <w:t>Added to reflect current Application Forms, the importance of considering the entire life of the project in the planning stages, application requirements, and earlier comments about incorporating closure into this Policy.</w:t>
      </w:r>
    </w:p>
  </w:comment>
  <w:comment w:id="93" w:author="Lindsey Cymbalisty" w:date="2022-01-28T16:55:00Z" w:initials="LCM">
    <w:p w14:paraId="6F09EC9D" w14:textId="51A5F738" w:rsidR="00BB69CA" w:rsidRDefault="00BB69CA">
      <w:pPr>
        <w:pStyle w:val="CommentText"/>
      </w:pPr>
      <w:r>
        <w:rPr>
          <w:rStyle w:val="CommentReference"/>
        </w:rPr>
        <w:annotationRef/>
      </w:r>
      <w:r>
        <w:t xml:space="preserve">New. Reflects revisions to section 4.4 above. </w:t>
      </w:r>
    </w:p>
  </w:comment>
  <w:comment w:id="94" w:author="Lindsey Cymbalisty" w:date="2021-10-02T21:10:00Z" w:initials="LC-M">
    <w:p w14:paraId="76ECFD60" w14:textId="68A7AA77" w:rsidR="00384AFB" w:rsidRDefault="00384AFB">
      <w:pPr>
        <w:pStyle w:val="CommentText"/>
      </w:pPr>
      <w:r>
        <w:rPr>
          <w:rStyle w:val="CommentReference"/>
        </w:rPr>
        <w:annotationRef/>
      </w:r>
      <w:r w:rsidR="008F5ADB">
        <w:t>Revised to be more broadly applicable.</w:t>
      </w:r>
    </w:p>
  </w:comment>
  <w:comment w:id="95" w:author="Lindsey Cymbalisty" w:date="2022-01-30T21:31:00Z" w:initials="LC-M">
    <w:p w14:paraId="49E86899" w14:textId="77777777" w:rsidR="00F357A0" w:rsidRDefault="00F357A0" w:rsidP="00EA76B0">
      <w:pPr>
        <w:pStyle w:val="CommentText"/>
        <w:jc w:val="left"/>
      </w:pPr>
      <w:r>
        <w:rPr>
          <w:rStyle w:val="CommentReference"/>
        </w:rPr>
        <w:annotationRef/>
      </w:r>
      <w:r>
        <w:t xml:space="preserve">Previously, "pre-development." Revised for consistency with the Review Board’s draft </w:t>
      </w:r>
      <w:r>
        <w:rPr>
          <w:i/>
          <w:iCs/>
        </w:rPr>
        <w:t>Environmental Impact Assessment Initiation Guidelines</w:t>
      </w:r>
      <w:r>
        <w:t>.</w:t>
      </w:r>
    </w:p>
  </w:comment>
  <w:comment w:id="96" w:author="Lindsey Cymbalisty" w:date="2022-01-28T17:03:00Z" w:initials="LCM">
    <w:p w14:paraId="692A4C68" w14:textId="740193FD" w:rsidR="00D9570A" w:rsidRDefault="00D9570A">
      <w:pPr>
        <w:pStyle w:val="CommentText"/>
      </w:pPr>
      <w:r>
        <w:rPr>
          <w:rStyle w:val="CommentReference"/>
        </w:rPr>
        <w:annotationRef/>
      </w:r>
      <w:r>
        <w:t>New.</w:t>
      </w:r>
    </w:p>
  </w:comment>
  <w:comment w:id="97" w:author="Lindsey Cymbalisty" w:date="2022-01-28T16:57:00Z" w:initials="LCM">
    <w:p w14:paraId="4CD3ED64" w14:textId="234FE56D" w:rsidR="00DC7CD2" w:rsidRDefault="00DC7CD2">
      <w:pPr>
        <w:pStyle w:val="CommentText"/>
      </w:pPr>
      <w:r>
        <w:rPr>
          <w:rStyle w:val="CommentReference"/>
        </w:rPr>
        <w:annotationRef/>
      </w:r>
      <w:r>
        <w:t>New.</w:t>
      </w:r>
    </w:p>
  </w:comment>
  <w:comment w:id="98" w:author="Lindsey Cymbalisty" w:date="2022-01-28T16:58:00Z" w:initials="LCM">
    <w:p w14:paraId="766EA5A6" w14:textId="7C587F6B" w:rsidR="00A7587E" w:rsidRDefault="00A7587E">
      <w:pPr>
        <w:pStyle w:val="CommentText"/>
      </w:pPr>
      <w:r>
        <w:rPr>
          <w:rStyle w:val="CommentReference"/>
        </w:rPr>
        <w:annotationRef/>
      </w:r>
      <w:r>
        <w:t>New.</w:t>
      </w:r>
    </w:p>
  </w:comment>
  <w:comment w:id="100" w:author="Lindsey Cymbalisty" w:date="2022-01-30T21:38:00Z" w:initials="LC-M">
    <w:p w14:paraId="2540FD64" w14:textId="77777777" w:rsidR="001C4786" w:rsidRDefault="001C4786" w:rsidP="00E63055">
      <w:pPr>
        <w:pStyle w:val="CommentText"/>
        <w:jc w:val="left"/>
      </w:pPr>
      <w:r>
        <w:rPr>
          <w:rStyle w:val="CommentReference"/>
        </w:rPr>
        <w:annotationRef/>
      </w:r>
      <w:r>
        <w:t>Updated</w:t>
      </w:r>
    </w:p>
  </w:comment>
  <w:comment w:id="101" w:author="Lindsey Cymbalisty" w:date="2022-01-28T16:59:00Z" w:initials="LCM">
    <w:p w14:paraId="66E11A7B" w14:textId="4945BAE5" w:rsidR="003B2F35" w:rsidRDefault="003B2F35">
      <w:pPr>
        <w:pStyle w:val="CommentText"/>
      </w:pPr>
      <w:r>
        <w:rPr>
          <w:rStyle w:val="CommentReference"/>
        </w:rPr>
        <w:annotationRef/>
      </w:r>
      <w:r>
        <w:t>New.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F70A4D" w15:done="0"/>
  <w15:commentEx w15:paraId="555358B2" w15:done="0"/>
  <w15:commentEx w15:paraId="3AC29D8A" w15:done="0"/>
  <w15:commentEx w15:paraId="79D056F9" w15:done="0"/>
  <w15:commentEx w15:paraId="2FBF05E1" w15:done="0"/>
  <w15:commentEx w15:paraId="14667B64" w15:done="0"/>
  <w15:commentEx w15:paraId="4242CE82" w15:done="0"/>
  <w15:commentEx w15:paraId="0F3CAC1C" w15:done="0"/>
  <w15:commentEx w15:paraId="6C3C5DFD" w15:done="0"/>
  <w15:commentEx w15:paraId="3B1BC027" w15:done="0"/>
  <w15:commentEx w15:paraId="6E211284" w15:done="0"/>
  <w15:commentEx w15:paraId="365FBDD3" w15:done="0"/>
  <w15:commentEx w15:paraId="2E8A752A" w15:done="0"/>
  <w15:commentEx w15:paraId="2B6CE1FD" w15:done="0"/>
  <w15:commentEx w15:paraId="6F2CA6E7" w15:done="0"/>
  <w15:commentEx w15:paraId="14E55E5C" w15:done="0"/>
  <w15:commentEx w15:paraId="423C7E70" w15:done="0"/>
  <w15:commentEx w15:paraId="0B085FBF" w15:done="0"/>
  <w15:commentEx w15:paraId="413721C0" w15:done="0"/>
  <w15:commentEx w15:paraId="089006FE" w15:done="0"/>
  <w15:commentEx w15:paraId="7928A37D" w15:done="0"/>
  <w15:commentEx w15:paraId="142A19E6" w15:done="0"/>
  <w15:commentEx w15:paraId="2BDDB79E" w15:done="0"/>
  <w15:commentEx w15:paraId="46F85DFA" w15:done="0"/>
  <w15:commentEx w15:paraId="7E2A475C" w15:done="0"/>
  <w15:commentEx w15:paraId="3C711369" w15:done="0"/>
  <w15:commentEx w15:paraId="5EE12177" w15:done="0"/>
  <w15:commentEx w15:paraId="7D1265FD" w15:done="0"/>
  <w15:commentEx w15:paraId="699F8F18" w15:done="0"/>
  <w15:commentEx w15:paraId="2E668FDA" w15:done="0"/>
  <w15:commentEx w15:paraId="30F34B39" w15:done="0"/>
  <w15:commentEx w15:paraId="004F003B" w15:done="0"/>
  <w15:commentEx w15:paraId="06D56131" w15:done="0"/>
  <w15:commentEx w15:paraId="204D5EAF" w15:done="0"/>
  <w15:commentEx w15:paraId="40561426" w15:done="0"/>
  <w15:commentEx w15:paraId="6C7E76FC" w15:done="0"/>
  <w15:commentEx w15:paraId="1DBBBFA4" w15:done="0"/>
  <w15:commentEx w15:paraId="2A96B334" w15:done="0"/>
  <w15:commentEx w15:paraId="195E4281" w15:done="0"/>
  <w15:commentEx w15:paraId="168C2EF7" w15:done="0"/>
  <w15:commentEx w15:paraId="5B13A7C0" w15:done="0"/>
  <w15:commentEx w15:paraId="03067CFB" w15:done="0"/>
  <w15:commentEx w15:paraId="669DB687" w15:done="0"/>
  <w15:commentEx w15:paraId="78FAD1EE" w15:done="0"/>
  <w15:commentEx w15:paraId="43DCF40F" w15:done="0"/>
  <w15:commentEx w15:paraId="175C21C3" w15:done="0"/>
  <w15:commentEx w15:paraId="7ECE5CA5" w15:done="0"/>
  <w15:commentEx w15:paraId="37874F82" w15:done="0"/>
  <w15:commentEx w15:paraId="130665FD" w15:done="0"/>
  <w15:commentEx w15:paraId="2487BD5E" w15:done="0"/>
  <w15:commentEx w15:paraId="5E8A7FC2" w15:done="0"/>
  <w15:commentEx w15:paraId="2C185C6C" w15:done="0"/>
  <w15:commentEx w15:paraId="602517CA" w15:done="0"/>
  <w15:commentEx w15:paraId="0A9D3F62" w15:done="0"/>
  <w15:commentEx w15:paraId="03B60A58" w15:done="0"/>
  <w15:commentEx w15:paraId="3044DBA0" w15:done="0"/>
  <w15:commentEx w15:paraId="1B7D053A" w15:done="0"/>
  <w15:commentEx w15:paraId="47B50368" w15:done="0"/>
  <w15:commentEx w15:paraId="5971BD22" w15:done="0"/>
  <w15:commentEx w15:paraId="6F09EC9D" w15:done="0"/>
  <w15:commentEx w15:paraId="76ECFD60" w15:done="0"/>
  <w15:commentEx w15:paraId="49E86899" w15:done="0"/>
  <w15:commentEx w15:paraId="692A4C68" w15:done="0"/>
  <w15:commentEx w15:paraId="4CD3ED64" w15:done="0"/>
  <w15:commentEx w15:paraId="766EA5A6" w15:done="0"/>
  <w15:commentEx w15:paraId="2540FD64" w15:done="0"/>
  <w15:commentEx w15:paraId="66E11A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BF9F" w16cex:dateUtc="2022-01-26T19:39:00Z"/>
  <w16cex:commentExtensible w16cex:durableId="250A94E9" w16cex:dateUtc="2021-10-08T15:59:00Z"/>
  <w16cex:commentExtensible w16cex:durableId="25A03028" w16cex:dateUtc="2022-01-30T04:29:00Z"/>
  <w16cex:commentExtensible w16cex:durableId="259BC04F" w16cex:dateUtc="2022-01-26T19:42:00Z"/>
  <w16cex:commentExtensible w16cex:durableId="259BC05D" w16cex:dateUtc="2022-01-26T19:43:00Z"/>
  <w16cex:commentExtensible w16cex:durableId="250A955B" w16cex:dateUtc="2021-10-08T16:00:00Z"/>
  <w16cex:commentExtensible w16cex:durableId="2422DAF3" w16cex:dateUtc="2021-04-15T21:32:00Z"/>
  <w16cex:commentExtensible w16cex:durableId="250A95DE" w16cex:dateUtc="2021-10-08T16:03:00Z"/>
  <w16cex:commentExtensible w16cex:durableId="259BC383" w16cex:dateUtc="2022-01-26T19:56:00Z"/>
  <w16cex:commentExtensible w16cex:durableId="2471BFB9" w16cex:dateUtc="2021-06-14T17:44:00Z"/>
  <w16cex:commentExtensible w16cex:durableId="259BC210" w16cex:dateUtc="2022-01-26T19:50:00Z"/>
  <w16cex:commentExtensible w16cex:durableId="2507F3CB" w16cex:dateUtc="2021-10-06T16:07:00Z"/>
  <w16cex:commentExtensible w16cex:durableId="23E73C44" w16cex:dateUtc="2021-03-01T17:11:00Z"/>
  <w16cex:commentExtensible w16cex:durableId="25576B08" w16cex:dateUtc="2021-12-05T23:44:00Z"/>
  <w16cex:commentExtensible w16cex:durableId="2505EF49" w16cex:dateUtc="2021-10-05T03:23:00Z"/>
  <w16cex:commentExtensible w16cex:durableId="23E7C9E8" w16cex:dateUtc="2021-03-02T03:15:00Z"/>
  <w16cex:commentExtensible w16cex:durableId="259BC359" w16cex:dateUtc="2022-01-26T19:55:00Z"/>
  <w16cex:commentExtensible w16cex:durableId="247467B2" w16cex:dateUtc="2021-06-16T18:06:00Z"/>
  <w16cex:commentExtensible w16cex:durableId="24738D36" w16cex:dateUtc="2021-06-16T02:33:00Z"/>
  <w16cex:commentExtensible w16cex:durableId="259BC3D1" w16cex:dateUtc="2022-01-26T19:57:00Z"/>
  <w16cex:commentExtensible w16cex:durableId="259BC3E7" w16cex:dateUtc="2022-01-26T19:58:00Z"/>
  <w16cex:commentExtensible w16cex:durableId="2422844B" w16cex:dateUtc="2021-04-15T15:22:00Z"/>
  <w16cex:commentExtensible w16cex:durableId="259E946A" w16cex:dateUtc="2022-01-28T23:12:00Z"/>
  <w16cex:commentExtensible w16cex:durableId="259E94A8" w16cex:dateUtc="2022-01-28T23:13:00Z"/>
  <w16cex:commentExtensible w16cex:durableId="2506A16C" w16cex:dateUtc="2021-10-05T16:03:00Z"/>
  <w16cex:commentExtensible w16cex:durableId="2500AADE" w16cex:dateUtc="2021-10-01T03:30:00Z"/>
  <w16cex:commentExtensible w16cex:durableId="23F9AADE" w16cex:dateUtc="2021-03-15T15:43:00Z"/>
  <w16cex:commentExtensible w16cex:durableId="24746C26" w16cex:dateUtc="2021-06-16T18:25:00Z"/>
  <w16cex:commentExtensible w16cex:durableId="259E9777" w16cex:dateUtc="2022-01-28T23:25:00Z"/>
  <w16cex:commentExtensible w16cex:durableId="259E97E8" w16cex:dateUtc="2022-01-28T23:27:00Z"/>
  <w16cex:commentExtensible w16cex:durableId="2500B29D" w16cex:dateUtc="2021-10-01T04:03:00Z"/>
  <w16cex:commentExtensible w16cex:durableId="259E98CE" w16cex:dateUtc="2022-01-28T23:31:00Z"/>
  <w16cex:commentExtensible w16cex:durableId="2513F6A8" w16cex:dateUtc="2021-10-15T18:46:00Z"/>
  <w16cex:commentExtensible w16cex:durableId="259E9F96" w16cex:dateUtc="2022-01-29T00:00:00Z"/>
  <w16cex:commentExtensible w16cex:durableId="2471CC42" w16cex:dateUtc="2021-06-14T18:38:00Z"/>
  <w16cex:commentExtensible w16cex:durableId="2471CC6A" w16cex:dateUtc="2021-06-14T18:39:00Z"/>
  <w16cex:commentExtensible w16cex:durableId="2471CCCE" w16cex:dateUtc="2021-06-14T18:40:00Z"/>
  <w16cex:commentExtensible w16cex:durableId="25A62D11" w16cex:dateUtc="2022-02-03T17:29:00Z"/>
  <w16cex:commentExtensible w16cex:durableId="25A03A4A" w16cex:dateUtc="2022-01-30T05:12:00Z"/>
  <w16cex:commentExtensible w16cex:durableId="25A1796D" w16cex:dateUtc="2022-01-31T03:54:00Z"/>
  <w16cex:commentExtensible w16cex:durableId="247320A6" w16cex:dateUtc="2021-06-15T18:50:00Z"/>
  <w16cex:commentExtensible w16cex:durableId="25A03A3B" w16cex:dateUtc="2022-01-30T05:12:00Z"/>
  <w16cex:commentExtensible w16cex:durableId="259E9A32" w16cex:dateUtc="2022-01-28T23:37:00Z"/>
  <w16cex:commentExtensible w16cex:durableId="25A17A98" w16cex:dateUtc="2022-01-31T03:59:00Z"/>
  <w16cex:commentExtensible w16cex:durableId="259E9B4D" w16cex:dateUtc="2022-01-28T23:41:00Z"/>
  <w16cex:commentExtensible w16cex:durableId="25A17C8B" w16cex:dateUtc="2022-01-31T04:07:00Z"/>
  <w16cex:commentExtensible w16cex:durableId="259E9BC1" w16cex:dateUtc="2022-01-28T23:43:00Z"/>
  <w16cex:commentExtensible w16cex:durableId="259E9BD8" w16cex:dateUtc="2022-01-28T23:44:00Z"/>
  <w16cex:commentExtensible w16cex:durableId="259E9C13" w16cex:dateUtc="2022-01-28T23:45:00Z"/>
  <w16cex:commentExtensible w16cex:durableId="25030108" w16cex:dateUtc="2021-10-02T22:02:00Z"/>
  <w16cex:commentExtensible w16cex:durableId="259E9C52" w16cex:dateUtc="2022-01-28T23:46:00Z"/>
  <w16cex:commentExtensible w16cex:durableId="25030518" w16cex:dateUtc="2021-10-02T22:19:00Z"/>
  <w16cex:commentExtensible w16cex:durableId="25A18003" w16cex:dateUtc="2022-01-31T04:22:00Z"/>
  <w16cex:commentExtensible w16cex:durableId="259E9D09" w16cex:dateUtc="2022-01-28T23:49:00Z"/>
  <w16cex:commentExtensible w16cex:durableId="259E9D50" w16cex:dateUtc="2022-01-28T23:50:00Z"/>
  <w16cex:commentExtensible w16cex:durableId="251428F1" w16cex:dateUtc="2021-10-15T22:21:00Z"/>
  <w16cex:commentExtensible w16cex:durableId="2422B0BD" w16cex:dateUtc="2021-04-15T18:31:00Z"/>
  <w16cex:commentExtensible w16cex:durableId="2513E979" w16cex:dateUtc="2021-06-16T21:59:00Z"/>
  <w16cex:commentExtensible w16cex:durableId="250349BB" w16cex:dateUtc="2021-04-15T18:30:00Z"/>
  <w16cex:commentExtensible w16cex:durableId="259E9E7C" w16cex:dateUtc="2022-01-28T23:55:00Z"/>
  <w16cex:commentExtensible w16cex:durableId="2503494B" w16cex:dateUtc="2021-10-03T03:10:00Z"/>
  <w16cex:commentExtensible w16cex:durableId="25A18225" w16cex:dateUtc="2022-01-31T04:31:00Z"/>
  <w16cex:commentExtensible w16cex:durableId="259EA079" w16cex:dateUtc="2022-01-29T00:03:00Z"/>
  <w16cex:commentExtensible w16cex:durableId="259E9F09" w16cex:dateUtc="2022-01-28T23:57:00Z"/>
  <w16cex:commentExtensible w16cex:durableId="259E9F3A" w16cex:dateUtc="2022-01-28T23:58:00Z"/>
  <w16cex:commentExtensible w16cex:durableId="25A183DB" w16cex:dateUtc="2022-01-31T04:38:00Z"/>
  <w16cex:commentExtensible w16cex:durableId="259E9F60" w16cex:dateUtc="2022-01-28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70A4D" w16cid:durableId="259BBF9F"/>
  <w16cid:commentId w16cid:paraId="555358B2" w16cid:durableId="250A94E9"/>
  <w16cid:commentId w16cid:paraId="3AC29D8A" w16cid:durableId="25A03028"/>
  <w16cid:commentId w16cid:paraId="79D056F9" w16cid:durableId="259BC04F"/>
  <w16cid:commentId w16cid:paraId="2FBF05E1" w16cid:durableId="259BC05D"/>
  <w16cid:commentId w16cid:paraId="14667B64" w16cid:durableId="250A955B"/>
  <w16cid:commentId w16cid:paraId="4242CE82" w16cid:durableId="2422DAF3"/>
  <w16cid:commentId w16cid:paraId="0F3CAC1C" w16cid:durableId="250A95DE"/>
  <w16cid:commentId w16cid:paraId="6C3C5DFD" w16cid:durableId="259BC383"/>
  <w16cid:commentId w16cid:paraId="3B1BC027" w16cid:durableId="2471BFB9"/>
  <w16cid:commentId w16cid:paraId="6E211284" w16cid:durableId="259BC210"/>
  <w16cid:commentId w16cid:paraId="365FBDD3" w16cid:durableId="2507F3CB"/>
  <w16cid:commentId w16cid:paraId="2E8A752A" w16cid:durableId="23E73C44"/>
  <w16cid:commentId w16cid:paraId="2B6CE1FD" w16cid:durableId="25576B08"/>
  <w16cid:commentId w16cid:paraId="6F2CA6E7" w16cid:durableId="2505EF49"/>
  <w16cid:commentId w16cid:paraId="14E55E5C" w16cid:durableId="23E7C9E8"/>
  <w16cid:commentId w16cid:paraId="423C7E70" w16cid:durableId="259BC359"/>
  <w16cid:commentId w16cid:paraId="0B085FBF" w16cid:durableId="247467B2"/>
  <w16cid:commentId w16cid:paraId="413721C0" w16cid:durableId="24738D36"/>
  <w16cid:commentId w16cid:paraId="089006FE" w16cid:durableId="259BC3D1"/>
  <w16cid:commentId w16cid:paraId="7928A37D" w16cid:durableId="259BC3E7"/>
  <w16cid:commentId w16cid:paraId="142A19E6" w16cid:durableId="2422844B"/>
  <w16cid:commentId w16cid:paraId="2BDDB79E" w16cid:durableId="259E946A"/>
  <w16cid:commentId w16cid:paraId="46F85DFA" w16cid:durableId="259E94A8"/>
  <w16cid:commentId w16cid:paraId="7E2A475C" w16cid:durableId="2506A16C"/>
  <w16cid:commentId w16cid:paraId="3C711369" w16cid:durableId="2500AADE"/>
  <w16cid:commentId w16cid:paraId="5EE12177" w16cid:durableId="23F9AADE"/>
  <w16cid:commentId w16cid:paraId="7D1265FD" w16cid:durableId="24746C26"/>
  <w16cid:commentId w16cid:paraId="699F8F18" w16cid:durableId="259E9777"/>
  <w16cid:commentId w16cid:paraId="2E668FDA" w16cid:durableId="259E97E8"/>
  <w16cid:commentId w16cid:paraId="30F34B39" w16cid:durableId="2500B29D"/>
  <w16cid:commentId w16cid:paraId="004F003B" w16cid:durableId="259E98CE"/>
  <w16cid:commentId w16cid:paraId="06D56131" w16cid:durableId="2513F6A8"/>
  <w16cid:commentId w16cid:paraId="204D5EAF" w16cid:durableId="259E9F96"/>
  <w16cid:commentId w16cid:paraId="40561426" w16cid:durableId="2471CC42"/>
  <w16cid:commentId w16cid:paraId="6C7E76FC" w16cid:durableId="2471CC6A"/>
  <w16cid:commentId w16cid:paraId="1DBBBFA4" w16cid:durableId="2471CCCE"/>
  <w16cid:commentId w16cid:paraId="2A96B334" w16cid:durableId="25A62D11"/>
  <w16cid:commentId w16cid:paraId="195E4281" w16cid:durableId="25A03A4A"/>
  <w16cid:commentId w16cid:paraId="168C2EF7" w16cid:durableId="25A1796D"/>
  <w16cid:commentId w16cid:paraId="5B13A7C0" w16cid:durableId="247320A6"/>
  <w16cid:commentId w16cid:paraId="03067CFB" w16cid:durableId="25A03A3B"/>
  <w16cid:commentId w16cid:paraId="669DB687" w16cid:durableId="259E9A32"/>
  <w16cid:commentId w16cid:paraId="78FAD1EE" w16cid:durableId="25A17A98"/>
  <w16cid:commentId w16cid:paraId="43DCF40F" w16cid:durableId="259E9B4D"/>
  <w16cid:commentId w16cid:paraId="175C21C3" w16cid:durableId="25A17C8B"/>
  <w16cid:commentId w16cid:paraId="7ECE5CA5" w16cid:durableId="259E9BC1"/>
  <w16cid:commentId w16cid:paraId="37874F82" w16cid:durableId="259E9BD8"/>
  <w16cid:commentId w16cid:paraId="130665FD" w16cid:durableId="259E9C13"/>
  <w16cid:commentId w16cid:paraId="2487BD5E" w16cid:durableId="25030108"/>
  <w16cid:commentId w16cid:paraId="5E8A7FC2" w16cid:durableId="259E9C52"/>
  <w16cid:commentId w16cid:paraId="2C185C6C" w16cid:durableId="25030518"/>
  <w16cid:commentId w16cid:paraId="602517CA" w16cid:durableId="25A18003"/>
  <w16cid:commentId w16cid:paraId="0A9D3F62" w16cid:durableId="259E9D09"/>
  <w16cid:commentId w16cid:paraId="03B60A58" w16cid:durableId="259E9D50"/>
  <w16cid:commentId w16cid:paraId="3044DBA0" w16cid:durableId="251428F1"/>
  <w16cid:commentId w16cid:paraId="1B7D053A" w16cid:durableId="2422B0BD"/>
  <w16cid:commentId w16cid:paraId="47B50368" w16cid:durableId="2513E979"/>
  <w16cid:commentId w16cid:paraId="5971BD22" w16cid:durableId="250349BB"/>
  <w16cid:commentId w16cid:paraId="6F09EC9D" w16cid:durableId="259E9E7C"/>
  <w16cid:commentId w16cid:paraId="76ECFD60" w16cid:durableId="2503494B"/>
  <w16cid:commentId w16cid:paraId="49E86899" w16cid:durableId="25A18225"/>
  <w16cid:commentId w16cid:paraId="692A4C68" w16cid:durableId="259EA079"/>
  <w16cid:commentId w16cid:paraId="4CD3ED64" w16cid:durableId="259E9F09"/>
  <w16cid:commentId w16cid:paraId="766EA5A6" w16cid:durableId="259E9F3A"/>
  <w16cid:commentId w16cid:paraId="2540FD64" w16cid:durableId="25A183DB"/>
  <w16cid:commentId w16cid:paraId="66E11A7B" w16cid:durableId="259E9F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3402" w14:textId="77777777" w:rsidR="00F43666" w:rsidRDefault="00F43666" w:rsidP="00753AB9">
      <w:pPr>
        <w:spacing w:after="0" w:line="240" w:lineRule="auto"/>
      </w:pPr>
      <w:r>
        <w:separator/>
      </w:r>
    </w:p>
  </w:endnote>
  <w:endnote w:type="continuationSeparator" w:id="0">
    <w:p w14:paraId="22D7ADC7" w14:textId="77777777" w:rsidR="00F43666" w:rsidRDefault="00F43666" w:rsidP="00753AB9">
      <w:pPr>
        <w:spacing w:after="0" w:line="240" w:lineRule="auto"/>
      </w:pPr>
      <w:r>
        <w:continuationSeparator/>
      </w:r>
    </w:p>
  </w:endnote>
  <w:endnote w:type="continuationNotice" w:id="1">
    <w:p w14:paraId="72F19728" w14:textId="77777777" w:rsidR="00F43666" w:rsidRDefault="00F43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792B" w14:textId="77777777" w:rsidR="0083049D" w:rsidRDefault="00830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1AB8" w14:textId="77777777" w:rsidR="0083049D" w:rsidRDefault="00830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C708" w14:textId="77777777" w:rsidR="0083049D" w:rsidRDefault="008304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DEE4" w14:textId="42DA22E4" w:rsidR="0081073E" w:rsidRDefault="00B50BC5">
    <w:pPr>
      <w:pStyle w:val="Footer"/>
    </w:pPr>
    <w:r>
      <w:t xml:space="preserve">Draft Waste </w:t>
    </w:r>
    <w:r w:rsidR="00874E33">
      <w:t>M</w:t>
    </w:r>
    <w:r>
      <w:t>anagement Policy</w:t>
    </w:r>
    <w:r>
      <w:tab/>
    </w:r>
    <w:r>
      <w:tab/>
    </w:r>
    <w:r w:rsidR="004F6010">
      <w:fldChar w:fldCharType="begin"/>
    </w:r>
    <w:r w:rsidR="004F6010">
      <w:instrText xml:space="preserve"> PAGE   \* MERGEFORMAT </w:instrText>
    </w:r>
    <w:r w:rsidR="004F6010">
      <w:fldChar w:fldCharType="separate"/>
    </w:r>
    <w:r w:rsidR="004F6010">
      <w:rPr>
        <w:noProof/>
      </w:rPr>
      <w:t>1</w:t>
    </w:r>
    <w:r w:rsidR="004F6010">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035FDB" w14:paraId="23B72549" w14:textId="77777777" w:rsidTr="04035FDB">
      <w:tc>
        <w:tcPr>
          <w:tcW w:w="3120" w:type="dxa"/>
        </w:tcPr>
        <w:p w14:paraId="2AE191AC" w14:textId="52DF41B7" w:rsidR="04035FDB" w:rsidRDefault="04035FDB" w:rsidP="04035FDB">
          <w:pPr>
            <w:pStyle w:val="Header"/>
            <w:ind w:left="-115"/>
            <w:jc w:val="left"/>
          </w:pPr>
        </w:p>
      </w:tc>
      <w:tc>
        <w:tcPr>
          <w:tcW w:w="3120" w:type="dxa"/>
        </w:tcPr>
        <w:p w14:paraId="2DFEE2DF" w14:textId="7AB25769" w:rsidR="04035FDB" w:rsidRDefault="04035FDB" w:rsidP="04035FDB">
          <w:pPr>
            <w:pStyle w:val="Header"/>
            <w:jc w:val="center"/>
          </w:pPr>
        </w:p>
      </w:tc>
      <w:tc>
        <w:tcPr>
          <w:tcW w:w="3120" w:type="dxa"/>
        </w:tcPr>
        <w:p w14:paraId="1486BC84" w14:textId="634A83B0" w:rsidR="04035FDB" w:rsidRDefault="04035FDB" w:rsidP="04035FDB">
          <w:pPr>
            <w:pStyle w:val="Header"/>
            <w:ind w:right="-115"/>
            <w:jc w:val="right"/>
          </w:pPr>
        </w:p>
      </w:tc>
    </w:tr>
  </w:tbl>
  <w:p w14:paraId="5C26DFAF" w14:textId="506CFAB8" w:rsidR="0081073E" w:rsidRDefault="00AC02C4">
    <w:pPr>
      <w:pStyle w:val="Footer"/>
    </w:pPr>
    <w:r>
      <w:t>Draft Waste Management Policy</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0083049D">
      <w:rPr>
        <w:b/>
        <w:bCs/>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B4A5" w14:textId="77777777" w:rsidR="00F43666" w:rsidRDefault="00F43666" w:rsidP="00753AB9">
      <w:pPr>
        <w:spacing w:after="0" w:line="240" w:lineRule="auto"/>
      </w:pPr>
      <w:r>
        <w:separator/>
      </w:r>
    </w:p>
  </w:footnote>
  <w:footnote w:type="continuationSeparator" w:id="0">
    <w:p w14:paraId="228E620A" w14:textId="77777777" w:rsidR="00F43666" w:rsidRDefault="00F43666" w:rsidP="00753AB9">
      <w:pPr>
        <w:spacing w:after="0" w:line="240" w:lineRule="auto"/>
      </w:pPr>
      <w:r>
        <w:continuationSeparator/>
      </w:r>
    </w:p>
  </w:footnote>
  <w:footnote w:type="continuationNotice" w:id="1">
    <w:p w14:paraId="6DBEC57D" w14:textId="77777777" w:rsidR="00F43666" w:rsidRDefault="00F43666">
      <w:pPr>
        <w:spacing w:after="0" w:line="240" w:lineRule="auto"/>
      </w:pPr>
    </w:p>
  </w:footnote>
  <w:footnote w:id="2">
    <w:p w14:paraId="467087CB" w14:textId="7EBB229C" w:rsidR="00466929" w:rsidRPr="00466929" w:rsidRDefault="00466929">
      <w:pPr>
        <w:pStyle w:val="FootnoteText"/>
        <w:rPr>
          <w:lang w:val="en-US"/>
        </w:rPr>
      </w:pPr>
      <w:r>
        <w:rPr>
          <w:rStyle w:val="FootnoteReference"/>
        </w:rPr>
        <w:footnoteRef/>
      </w:r>
      <w:r>
        <w:t xml:space="preserve"> </w:t>
      </w:r>
      <w:r w:rsidR="00525874" w:rsidRPr="00525874">
        <w:rPr>
          <w:rStyle w:val="FootnoteChar"/>
        </w:rPr>
        <w:t>Although ‘discharge’ is defined here, both ‘discharge’ and ‘deposit of waste’ are used in this Policy, because the legislation refers to ‘deposit of waste,’ while LWB guidance documents and standard conditions often use both terms. While there may be a general perception that ‘discharge’ refers to wastewater and ‘deposit’ refers to solid waste, the LWBs do not define these terms in this way, and the legislation encompasses both in the definition of ‘deposit of waste.’</w:t>
      </w:r>
    </w:p>
  </w:footnote>
  <w:footnote w:id="3">
    <w:p w14:paraId="3BBE6A39" w14:textId="47E4A568" w:rsidR="000E2606" w:rsidRPr="001838DB" w:rsidRDefault="000E2606">
      <w:pPr>
        <w:pStyle w:val="FootnoteText"/>
        <w:rPr>
          <w:rStyle w:val="FootnoteChar"/>
        </w:rPr>
      </w:pPr>
      <w:r>
        <w:rPr>
          <w:rStyle w:val="FootnoteReference"/>
        </w:rPr>
        <w:footnoteRef/>
      </w:r>
      <w:r>
        <w:t xml:space="preserve"> “</w:t>
      </w:r>
      <w:r w:rsidR="00673971">
        <w:rPr>
          <w:rStyle w:val="FootnoteChar"/>
        </w:rPr>
        <w:t>u</w:t>
      </w:r>
      <w:r w:rsidRPr="001838DB">
        <w:rPr>
          <w:rStyle w:val="FootnoteChar"/>
        </w:rPr>
        <w:t>ndertaking” is defined, in section 1 of the Waters Regulations and section 2 of the M</w:t>
      </w:r>
      <w:r w:rsidR="00317087">
        <w:rPr>
          <w:rStyle w:val="FootnoteChar"/>
        </w:rPr>
        <w:t>ackenzie Valley Federal Areas Regulations</w:t>
      </w:r>
      <w:r w:rsidRPr="001838DB">
        <w:rPr>
          <w:rStyle w:val="FootnoteChar"/>
        </w:rPr>
        <w:t>, as: an undertaking in respect of which water is to be used or waste is to be deposited, of a type set out in Schedule B, or Schedule II, respectively.</w:t>
      </w:r>
    </w:p>
  </w:footnote>
  <w:footnote w:id="4">
    <w:p w14:paraId="3B9D9C58" w14:textId="10D3C30D" w:rsidR="000E2606" w:rsidRDefault="000E2606" w:rsidP="00323CF7">
      <w:pPr>
        <w:pStyle w:val="Footnote"/>
      </w:pPr>
      <w:r>
        <w:rPr>
          <w:rStyle w:val="FootnoteReference"/>
        </w:rPr>
        <w:footnoteRef/>
      </w:r>
      <w:r>
        <w:t xml:space="preserve"> “waste” is defined as:</w:t>
      </w:r>
    </w:p>
    <w:p w14:paraId="60331440" w14:textId="65F46A54" w:rsidR="000E2606" w:rsidRDefault="000E2606" w:rsidP="00323CF7">
      <w:pPr>
        <w:pStyle w:val="Footnote"/>
      </w:pPr>
      <w:r>
        <w:t>(a) any substance that, if added to water, would degrade or alter or form part of a process of degradation or alteration of the quality of the water to an extent that is detrimental to its use by people or by any animal, fish or plant, or</w:t>
      </w:r>
    </w:p>
    <w:p w14:paraId="74F99406" w14:textId="3AB4D378" w:rsidR="000E2606" w:rsidRDefault="000E2606" w:rsidP="00323CF7">
      <w:pPr>
        <w:pStyle w:val="Footnote"/>
      </w:pPr>
      <w:r>
        <w:t>(b) water that contains a substance in such a quantity or concentration, or that has been so treated, processed or changed, by heat or other means, that it would, if added to any other water, degrade or alter or form part of a process of degradation or alteration of the quality of that water to the extent described in paragraph (a), and, without limiting the generality of the foregoing, includes</w:t>
      </w:r>
    </w:p>
    <w:p w14:paraId="25B09B19" w14:textId="77777777" w:rsidR="000E2606" w:rsidRDefault="000E2606" w:rsidP="00323CF7">
      <w:pPr>
        <w:pStyle w:val="Footnote"/>
      </w:pPr>
      <w:r>
        <w:t>(c) any substance or water that, for the purposes of the Canada Water Act, is deemed to be waste,</w:t>
      </w:r>
    </w:p>
    <w:p w14:paraId="033ADDBC" w14:textId="4C7888E1" w:rsidR="000E2606" w:rsidRDefault="000E2606" w:rsidP="00323CF7">
      <w:pPr>
        <w:pStyle w:val="Footnote"/>
      </w:pPr>
      <w:r>
        <w:t xml:space="preserve">(d) any substance or class of substances prescribed by regulations made under subparagraph </w:t>
      </w:r>
      <w:r w:rsidR="00356FFD">
        <w:t>6</w:t>
      </w:r>
      <w:r>
        <w:t>3(1)(b)(i),</w:t>
      </w:r>
    </w:p>
    <w:p w14:paraId="6BF9A00A" w14:textId="6851B94C" w:rsidR="000E2606" w:rsidRDefault="000E2606" w:rsidP="00323CF7">
      <w:pPr>
        <w:pStyle w:val="Footnote"/>
      </w:pPr>
      <w:r>
        <w:t xml:space="preserve">(e) water that contains any substance or class of substances in a quantity or concentration that is equal to or greater than a quantity or concentration prescribed in respect of that substance or class of substances by regulations made under subparagraph </w:t>
      </w:r>
      <w:r w:rsidR="00356FFD">
        <w:t>6</w:t>
      </w:r>
      <w:r>
        <w:t>3(1)(b)(ii), and</w:t>
      </w:r>
    </w:p>
    <w:p w14:paraId="70A3908B" w14:textId="4F769622" w:rsidR="000E2606" w:rsidRPr="00323CF7" w:rsidRDefault="000E2606" w:rsidP="00323CF7">
      <w:pPr>
        <w:pStyle w:val="Footnote"/>
        <w:rPr>
          <w:lang w:val="en-US"/>
        </w:rPr>
      </w:pPr>
      <w:r>
        <w:t xml:space="preserve">(f) water that has been subjected to a treatment, process or change prescribed by regulations made under subparagraph </w:t>
      </w:r>
      <w:r w:rsidR="00356FFD">
        <w:t>6</w:t>
      </w:r>
      <w:r>
        <w:t>3(1)(b)(iii).”</w:t>
      </w:r>
    </w:p>
  </w:footnote>
  <w:footnote w:id="5">
    <w:p w14:paraId="4ED7E75D" w14:textId="68A041B6" w:rsidR="000E2606" w:rsidRPr="002B0796" w:rsidRDefault="000E2606" w:rsidP="002B0796">
      <w:pPr>
        <w:pStyle w:val="Footnote"/>
      </w:pPr>
      <w:r>
        <w:rPr>
          <w:rStyle w:val="FootnoteReference"/>
        </w:rPr>
        <w:footnoteRef/>
      </w:r>
      <w:r>
        <w:t xml:space="preserve"> Paragraph 26(5)(c) of the </w:t>
      </w:r>
      <w:r w:rsidRPr="002B0796">
        <w:rPr>
          <w:i/>
          <w:iCs/>
        </w:rPr>
        <w:t>Waters Act</w:t>
      </w:r>
      <w:r>
        <w:t xml:space="preserve"> and paragraph 72.03(5)(c) the MVRMA states that “any waste that would be produced by the appurtenant undertaking will be treated and disposed of in a manner that is appropriate for the maintenance of water quality standards (…).” There is no definition of the term “water quality standard” in the </w:t>
      </w:r>
      <w:r w:rsidRPr="002B0796">
        <w:rPr>
          <w:i/>
          <w:iCs/>
        </w:rPr>
        <w:t>W</w:t>
      </w:r>
      <w:r>
        <w:rPr>
          <w:i/>
          <w:iCs/>
        </w:rPr>
        <w:t>aters Act</w:t>
      </w:r>
      <w:r>
        <w:t xml:space="preserve"> or the MVRMA, but the </w:t>
      </w:r>
      <w:r w:rsidR="008029C4">
        <w:t xml:space="preserve">LWBs </w:t>
      </w:r>
      <w:r w:rsidR="00054126">
        <w:t>consider</w:t>
      </w:r>
      <w:r>
        <w:t xml:space="preserve"> it to be equivalent to the more widely accepted term “water quality objective</w:t>
      </w:r>
      <w:r w:rsidR="00054126">
        <w:t>,</w:t>
      </w:r>
      <w:r>
        <w:t>” which has been defined by the Canadian Council of Ministers of the Environment (CCME) as: “a numerical concentration or narrative statement that has been established to support and protect the designated uses of water at a specified site.”(CCME (</w:t>
      </w:r>
      <w:r w:rsidRPr="000513A3">
        <w:t>1999</w:t>
      </w:r>
      <w:r>
        <w:t>), Canadian Environmental Quality Guidelines. Guidelines and Standards Division, Winnipeg, MB.)</w:t>
      </w:r>
    </w:p>
  </w:footnote>
  <w:footnote w:id="6">
    <w:p w14:paraId="679F1720" w14:textId="36333D1E" w:rsidR="00583E95" w:rsidRPr="00982224" w:rsidRDefault="00583E95" w:rsidP="00583E95">
      <w:pPr>
        <w:pStyle w:val="Footnote"/>
        <w:rPr>
          <w:lang w:val="en-US"/>
        </w:rPr>
      </w:pPr>
      <w:r>
        <w:rPr>
          <w:rStyle w:val="FootnoteReference"/>
        </w:rPr>
        <w:footnoteRef/>
      </w:r>
      <w:r>
        <w:t xml:space="preserve"> S</w:t>
      </w:r>
      <w:r w:rsidRPr="006933D7">
        <w:t xml:space="preserve">ee </w:t>
      </w:r>
      <w:r>
        <w:t>sub</w:t>
      </w:r>
      <w:r w:rsidRPr="006933D7">
        <w:t xml:space="preserve">section </w:t>
      </w:r>
      <w:r>
        <w:t>27(1)</w:t>
      </w:r>
      <w:r w:rsidRPr="006933D7">
        <w:t xml:space="preserve"> of the </w:t>
      </w:r>
      <w:r w:rsidRPr="007322A3">
        <w:rPr>
          <w:i/>
          <w:iCs/>
        </w:rPr>
        <w:t>Waters Act</w:t>
      </w:r>
      <w:r w:rsidRPr="006933D7">
        <w:t xml:space="preserve"> </w:t>
      </w:r>
      <w:r>
        <w:t xml:space="preserve">and subsection 72.04(1) of the MVRMA </w:t>
      </w:r>
      <w:r w:rsidRPr="006933D7">
        <w:t xml:space="preserve">for </w:t>
      </w:r>
      <w:r>
        <w:t xml:space="preserve">general types of </w:t>
      </w:r>
      <w:r w:rsidRPr="006933D7">
        <w:t>conditions that may be set in a</w:t>
      </w:r>
      <w:r w:rsidR="00C75A75">
        <w:t xml:space="preserve"> licence</w:t>
      </w:r>
      <w:r>
        <w:t xml:space="preserve">. Also, see the </w:t>
      </w:r>
      <w:r w:rsidR="002556BC">
        <w:t>LWBs</w:t>
      </w:r>
      <w:r>
        <w:t xml:space="preserve">’ </w:t>
      </w:r>
      <w:r w:rsidRPr="00D8717D">
        <w:rPr>
          <w:i/>
          <w:iCs/>
        </w:rPr>
        <w:t>Standard Water Licence Conditions</w:t>
      </w:r>
      <w:r w:rsidR="0097163D">
        <w:rPr>
          <w:i/>
        </w:rPr>
        <w:t xml:space="preserve"> and </w:t>
      </w:r>
      <w:r w:rsidR="00763F73">
        <w:rPr>
          <w:i/>
          <w:iCs/>
        </w:rPr>
        <w:t>Schedules</w:t>
      </w:r>
      <w:r w:rsidR="0097163D" w:rsidRPr="00D8717D">
        <w:t xml:space="preserve"> and </w:t>
      </w:r>
      <w:r w:rsidR="0097163D" w:rsidRPr="00D8717D">
        <w:rPr>
          <w:i/>
          <w:iCs/>
        </w:rPr>
        <w:t>Standard Land Use Permit Conditions</w:t>
      </w:r>
      <w:r w:rsidR="0097163D">
        <w:rPr>
          <w:i/>
          <w:iCs/>
        </w:rPr>
        <w:t xml:space="preserve"> </w:t>
      </w:r>
      <w:r w:rsidR="0097163D">
        <w:t>templates</w:t>
      </w:r>
      <w:r>
        <w:t xml:space="preserve"> for more information on specific standard conditions.</w:t>
      </w:r>
    </w:p>
  </w:footnote>
  <w:footnote w:id="7">
    <w:p w14:paraId="2E094D97" w14:textId="6BB528B6" w:rsidR="000E2606" w:rsidRPr="00F35F79" w:rsidRDefault="000E2606" w:rsidP="00DD36F0">
      <w:pPr>
        <w:pStyle w:val="Footnote"/>
      </w:pPr>
      <w:r w:rsidRPr="001205C2">
        <w:rPr>
          <w:rStyle w:val="FootnoteReference"/>
        </w:rPr>
        <w:footnoteRef/>
      </w:r>
      <w:r w:rsidRPr="001205C2">
        <w:rPr>
          <w:vertAlign w:val="superscript"/>
        </w:rPr>
        <w:t xml:space="preserve"> </w:t>
      </w:r>
      <w:r w:rsidRPr="008214B9">
        <w:t xml:space="preserve">All </w:t>
      </w:r>
      <w:r w:rsidR="00281136">
        <w:t>LWB</w:t>
      </w:r>
      <w:r w:rsidRPr="008214B9">
        <w:t xml:space="preserve"> guidance documents referenced in this Policy can be </w:t>
      </w:r>
      <w:r>
        <w:t>accessed</w:t>
      </w:r>
      <w:r w:rsidRPr="008214B9">
        <w:t xml:space="preserve"> </w:t>
      </w:r>
      <w:r w:rsidRPr="00F35F79">
        <w:t xml:space="preserve">on the Policies and Resources webpage on any of the </w:t>
      </w:r>
      <w:r w:rsidR="00281136">
        <w:t>LWB</w:t>
      </w:r>
      <w:r w:rsidRPr="00F35F79">
        <w:t xml:space="preserve"> websites </w:t>
      </w:r>
      <w:r w:rsidRPr="003C66A9">
        <w:t>(</w:t>
      </w:r>
      <w:hyperlink r:id="rId1" w:history="1">
        <w:r w:rsidR="00D8717D" w:rsidRPr="00D8717D">
          <w:rPr>
            <w:rStyle w:val="Hyperlink"/>
            <w:rFonts w:cstheme="minorHAnsi"/>
          </w:rPr>
          <w:t>www.glwb.com</w:t>
        </w:r>
      </w:hyperlink>
      <w:r w:rsidRPr="00F35F79">
        <w:t>/</w:t>
      </w:r>
      <w:hyperlink r:id="rId2" w:history="1">
        <w:r w:rsidRPr="00C7279D">
          <w:rPr>
            <w:rStyle w:val="Hyperlink"/>
          </w:rPr>
          <w:t>www.mvlwb.com</w:t>
        </w:r>
      </w:hyperlink>
      <w:r w:rsidRPr="00F35F79">
        <w:t>/</w:t>
      </w:r>
      <w:hyperlink r:id="rId3" w:history="1">
        <w:r w:rsidRPr="00C7279D">
          <w:rPr>
            <w:rStyle w:val="Hyperlink"/>
          </w:rPr>
          <w:t>www.slwb.com</w:t>
        </w:r>
      </w:hyperlink>
      <w:r w:rsidRPr="00F35F79">
        <w:t>/</w:t>
      </w:r>
      <w:hyperlink r:id="rId4" w:history="1">
        <w:r w:rsidRPr="00C7279D">
          <w:rPr>
            <w:rStyle w:val="Hyperlink"/>
          </w:rPr>
          <w:t>www.wlwb.ca</w:t>
        </w:r>
        <w:r w:rsidRPr="0046764E">
          <w:t>/</w:t>
        </w:r>
      </w:hyperlink>
      <w:r w:rsidRPr="00F35F79">
        <w:t>)</w:t>
      </w:r>
      <w:r w:rsidRPr="00C61237">
        <w:t>.</w:t>
      </w:r>
    </w:p>
  </w:footnote>
  <w:footnote w:id="8">
    <w:p w14:paraId="299B425D" w14:textId="2A5936F2" w:rsidR="000E2606" w:rsidRPr="00721265" w:rsidRDefault="000E2606" w:rsidP="00FE0682">
      <w:pPr>
        <w:pStyle w:val="Footnote"/>
      </w:pPr>
      <w:r w:rsidRPr="00721265">
        <w:rPr>
          <w:rStyle w:val="FootnoteReference"/>
        </w:rPr>
        <w:footnoteRef/>
      </w:r>
      <w:r w:rsidRPr="00721265">
        <w:t xml:space="preserve"> See the External Initiatives webpage on any of the </w:t>
      </w:r>
      <w:r w:rsidR="00982A72">
        <w:t>LWB</w:t>
      </w:r>
      <w:r w:rsidRPr="00721265">
        <w:t xml:space="preserve"> websites, or the GNWT’s NWT Water Stewardship webpage (</w:t>
      </w:r>
      <w:hyperlink r:id="rId5" w:history="1">
        <w:r w:rsidRPr="00721265">
          <w:rPr>
            <w:rStyle w:val="Hyperlink"/>
          </w:rPr>
          <w:t>https://www.nwtwaterstewardship.ca/</w:t>
        </w:r>
      </w:hyperlink>
      <w:r w:rsidRPr="00721265">
        <w:t xml:space="preserve">) to access the </w:t>
      </w:r>
      <w:hyperlink r:id="rId6" w:history="1">
        <w:r w:rsidRPr="00721265">
          <w:rPr>
            <w:rStyle w:val="Hyperlink"/>
            <w:i/>
            <w:iCs/>
          </w:rPr>
          <w:t>NWT Water Stewardship Strategy</w:t>
        </w:r>
      </w:hyperlink>
      <w:r w:rsidRPr="00721265">
        <w:t xml:space="preserve">. </w:t>
      </w:r>
    </w:p>
  </w:footnote>
  <w:footnote w:id="9">
    <w:p w14:paraId="2DD41548" w14:textId="71554B3E" w:rsidR="00E31317" w:rsidRPr="00822B4B" w:rsidRDefault="00E31317">
      <w:pPr>
        <w:pStyle w:val="FootnoteText"/>
      </w:pPr>
      <w:r>
        <w:rPr>
          <w:rStyle w:val="FootnoteReference"/>
        </w:rPr>
        <w:footnoteRef/>
      </w:r>
      <w:r>
        <w:t xml:space="preserve"> </w:t>
      </w:r>
      <w:r w:rsidR="003C131A" w:rsidRPr="00B77C40">
        <w:rPr>
          <w:rStyle w:val="FootnoteChar"/>
        </w:rPr>
        <w:t xml:space="preserve">For more examples of these types of conditions, </w:t>
      </w:r>
      <w:r w:rsidR="009F7111" w:rsidRPr="00B77C40">
        <w:rPr>
          <w:rStyle w:val="FootnoteChar"/>
        </w:rPr>
        <w:t xml:space="preserve">see the LWBs’ </w:t>
      </w:r>
      <w:hyperlink r:id="rId7" w:history="1">
        <w:r w:rsidR="009F7111" w:rsidRPr="00FC7D9C">
          <w:rPr>
            <w:rStyle w:val="Hyperlink"/>
            <w:i/>
            <w:iCs/>
            <w:sz w:val="18"/>
            <w:szCs w:val="18"/>
          </w:rPr>
          <w:t>Standard Water Licence Conditions and Schedules</w:t>
        </w:r>
      </w:hyperlink>
      <w:r w:rsidR="009F7111" w:rsidRPr="00B77C40">
        <w:rPr>
          <w:rStyle w:val="FootnoteChar"/>
        </w:rPr>
        <w:t xml:space="preserve"> and </w:t>
      </w:r>
      <w:hyperlink r:id="rId8" w:history="1">
        <w:r w:rsidR="009F7111" w:rsidRPr="00FC7B21">
          <w:rPr>
            <w:rStyle w:val="Hyperlink"/>
            <w:i/>
            <w:iCs/>
            <w:sz w:val="18"/>
            <w:szCs w:val="18"/>
          </w:rPr>
          <w:t>Standard Land Use Permit Conditions</w:t>
        </w:r>
      </w:hyperlink>
      <w:r w:rsidR="009F7111" w:rsidRPr="00B77C40">
        <w:rPr>
          <w:rStyle w:val="FootnoteChar"/>
        </w:rPr>
        <w:t xml:space="preserve"> templates</w:t>
      </w:r>
      <w:r w:rsidR="00B77C40" w:rsidRPr="00B77C40">
        <w:rPr>
          <w:rStyle w:val="FootnoteChar"/>
        </w:rPr>
        <w:t>.</w:t>
      </w:r>
    </w:p>
  </w:footnote>
  <w:footnote w:id="10">
    <w:p w14:paraId="6B83290A" w14:textId="12920419" w:rsidR="00773907" w:rsidRPr="00523CAE" w:rsidRDefault="00773907">
      <w:pPr>
        <w:pStyle w:val="FootnoteText"/>
        <w:rPr>
          <w:rStyle w:val="FootnoteChar"/>
        </w:rPr>
      </w:pPr>
      <w:r>
        <w:rPr>
          <w:rStyle w:val="FootnoteReference"/>
        </w:rPr>
        <w:footnoteRef/>
      </w:r>
      <w:r>
        <w:t xml:space="preserve"> </w:t>
      </w:r>
      <w:r w:rsidR="007A3D71" w:rsidRPr="00523CAE">
        <w:rPr>
          <w:rStyle w:val="FootnoteChar"/>
        </w:rPr>
        <w:t xml:space="preserve">For more information, see the LWBs’ </w:t>
      </w:r>
      <w:hyperlink r:id="rId9" w:history="1">
        <w:r w:rsidR="007A3D71" w:rsidRPr="00FF17B2">
          <w:rPr>
            <w:rStyle w:val="Hyperlink"/>
            <w:i/>
            <w:iCs/>
            <w:sz w:val="18"/>
            <w:szCs w:val="18"/>
          </w:rPr>
          <w:t>Guide to the Water Licensing Process</w:t>
        </w:r>
      </w:hyperlink>
      <w:r w:rsidR="007A3D71" w:rsidRPr="00523CAE">
        <w:rPr>
          <w:rStyle w:val="FootnoteChar"/>
        </w:rPr>
        <w:t xml:space="preserve"> and </w:t>
      </w:r>
      <w:hyperlink r:id="rId10" w:history="1">
        <w:r w:rsidR="007A3D71" w:rsidRPr="00FF17B2">
          <w:rPr>
            <w:rStyle w:val="Hyperlink"/>
            <w:i/>
            <w:iCs/>
            <w:sz w:val="18"/>
            <w:szCs w:val="18"/>
          </w:rPr>
          <w:t>Guide to the Land Use Permitting Process</w:t>
        </w:r>
      </w:hyperlink>
      <w:r w:rsidR="007A3D71" w:rsidRPr="00523CAE">
        <w:rPr>
          <w:rStyle w:val="FootnoteChar"/>
        </w:rPr>
        <w:t xml:space="preserve">. </w:t>
      </w:r>
    </w:p>
  </w:footnote>
  <w:footnote w:id="11">
    <w:p w14:paraId="746936B4" w14:textId="54BDB4AB" w:rsidR="00A00C07" w:rsidRPr="00B62F42" w:rsidRDefault="00A00C07">
      <w:pPr>
        <w:pStyle w:val="FootnoteText"/>
        <w:rPr>
          <w:sz w:val="18"/>
          <w:szCs w:val="18"/>
        </w:rPr>
      </w:pPr>
      <w:r w:rsidRPr="00B62F42">
        <w:rPr>
          <w:rStyle w:val="FootnoteReference"/>
          <w:sz w:val="18"/>
          <w:szCs w:val="18"/>
        </w:rPr>
        <w:footnoteRef/>
      </w:r>
      <w:r w:rsidRPr="00B62F42">
        <w:rPr>
          <w:sz w:val="18"/>
          <w:szCs w:val="18"/>
        </w:rPr>
        <w:t xml:space="preserve"> </w:t>
      </w:r>
      <w:r w:rsidR="004C1F1B">
        <w:rPr>
          <w:sz w:val="18"/>
          <w:szCs w:val="18"/>
        </w:rPr>
        <w:t>While t</w:t>
      </w:r>
      <w:r w:rsidRPr="00B62F42">
        <w:rPr>
          <w:sz w:val="18"/>
          <w:szCs w:val="18"/>
        </w:rPr>
        <w:t xml:space="preserve">he MVLWB/AANDC </w:t>
      </w:r>
      <w:hyperlink r:id="rId11" w:history="1">
        <w:r w:rsidRPr="00917FB1">
          <w:rPr>
            <w:rStyle w:val="Hyperlink"/>
            <w:i/>
            <w:iCs/>
            <w:sz w:val="18"/>
            <w:szCs w:val="18"/>
          </w:rPr>
          <w:t>Guidelines for the Closure and Reclamation of Advanced Mineral Exploration and Mine Sites in the Northwest Territories</w:t>
        </w:r>
      </w:hyperlink>
      <w:r w:rsidR="00B62F42" w:rsidRPr="00B62F42">
        <w:rPr>
          <w:sz w:val="18"/>
          <w:szCs w:val="18"/>
        </w:rPr>
        <w:t xml:space="preserve"> </w:t>
      </w:r>
      <w:r w:rsidRPr="00B62F42">
        <w:rPr>
          <w:sz w:val="18"/>
          <w:szCs w:val="18"/>
        </w:rPr>
        <w:t>were developed for mineral exploration and mining</w:t>
      </w:r>
      <w:r w:rsidR="00917FB1">
        <w:rPr>
          <w:sz w:val="18"/>
          <w:szCs w:val="18"/>
        </w:rPr>
        <w:t>,</w:t>
      </w:r>
      <w:r w:rsidR="00B62F42" w:rsidRPr="00B62F42">
        <w:rPr>
          <w:sz w:val="18"/>
          <w:szCs w:val="18"/>
        </w:rPr>
        <w:t xml:space="preserve"> </w:t>
      </w:r>
      <w:r w:rsidRPr="00B62F42">
        <w:rPr>
          <w:sz w:val="18"/>
          <w:szCs w:val="18"/>
        </w:rPr>
        <w:t>the information is applicable to other types of projects.</w:t>
      </w:r>
    </w:p>
  </w:footnote>
  <w:footnote w:id="12">
    <w:p w14:paraId="16063358" w14:textId="12720891" w:rsidR="007107AD" w:rsidRPr="007107AD" w:rsidRDefault="007107AD">
      <w:pPr>
        <w:pStyle w:val="FootnoteText"/>
      </w:pPr>
      <w:r>
        <w:rPr>
          <w:rStyle w:val="FootnoteReference"/>
        </w:rPr>
        <w:footnoteRef/>
      </w:r>
      <w:r>
        <w:t xml:space="preserve"> </w:t>
      </w:r>
      <w:r>
        <w:rPr>
          <w:sz w:val="18"/>
          <w:szCs w:val="18"/>
        </w:rPr>
        <w:t>Applicants, licensees, and permittees</w:t>
      </w:r>
      <w:r w:rsidRPr="007107AD">
        <w:rPr>
          <w:sz w:val="18"/>
          <w:szCs w:val="18"/>
        </w:rPr>
        <w:t xml:space="preserve"> should be aware that other submissions may be required by other regulatory agencies and/or by the landowner </w:t>
      </w:r>
      <w:r>
        <w:rPr>
          <w:sz w:val="18"/>
          <w:szCs w:val="18"/>
        </w:rPr>
        <w:t>through</w:t>
      </w:r>
      <w:r w:rsidRPr="007107AD">
        <w:rPr>
          <w:sz w:val="18"/>
          <w:szCs w:val="18"/>
        </w:rPr>
        <w:t xml:space="preserve"> other required authorizations.</w:t>
      </w:r>
      <w:r>
        <w:t xml:space="preserve"> </w:t>
      </w:r>
    </w:p>
  </w:footnote>
  <w:footnote w:id="13">
    <w:p w14:paraId="666FBB7A" w14:textId="3F6FC7F1" w:rsidR="000E2606" w:rsidRPr="00C70360" w:rsidRDefault="000E2606" w:rsidP="00C70360">
      <w:pPr>
        <w:spacing w:after="0" w:line="240" w:lineRule="auto"/>
        <w:rPr>
          <w:sz w:val="18"/>
          <w:szCs w:val="18"/>
        </w:rPr>
      </w:pPr>
      <w:r w:rsidRPr="00FE0682">
        <w:rPr>
          <w:rStyle w:val="FootnoteReference"/>
          <w:sz w:val="18"/>
          <w:szCs w:val="18"/>
        </w:rPr>
        <w:footnoteRef/>
      </w:r>
      <w:r w:rsidRPr="00FE0682">
        <w:rPr>
          <w:sz w:val="18"/>
          <w:szCs w:val="18"/>
        </w:rPr>
        <w:t xml:space="preserve"> </w:t>
      </w:r>
      <w:r w:rsidR="00AE286A">
        <w:rPr>
          <w:rStyle w:val="FootnoteChar"/>
        </w:rPr>
        <w:t>WQOs</w:t>
      </w:r>
      <w:r w:rsidRPr="00C70360">
        <w:rPr>
          <w:rStyle w:val="FootnoteChar"/>
        </w:rPr>
        <w:t xml:space="preserve"> define the quality of water that must be maintained in the receiving environment. In this example, </w:t>
      </w:r>
      <w:r w:rsidR="00AE286A">
        <w:rPr>
          <w:rStyle w:val="FootnoteChar"/>
        </w:rPr>
        <w:t>WQOs</w:t>
      </w:r>
      <w:r w:rsidRPr="00C70360">
        <w:rPr>
          <w:rStyle w:val="FootnoteChar"/>
        </w:rPr>
        <w:t xml:space="preserve"> would be defined for the lake into which </w:t>
      </w:r>
      <w:r w:rsidR="00110C74">
        <w:rPr>
          <w:rStyle w:val="FootnoteChar"/>
        </w:rPr>
        <w:t xml:space="preserve">a point-source </w:t>
      </w:r>
      <w:r w:rsidRPr="00C70360">
        <w:rPr>
          <w:rStyle w:val="FootnoteChar"/>
        </w:rPr>
        <w:t>effluent is being discharged from a project. EQC would be set and would, in this example, apply at the point at which the effluent</w:t>
      </w:r>
      <w:r w:rsidRPr="00C70360" w:rsidDel="00110C74">
        <w:rPr>
          <w:rStyle w:val="FootnoteChar"/>
        </w:rPr>
        <w:t xml:space="preserve"> </w:t>
      </w:r>
      <w:r w:rsidRPr="00C70360">
        <w:rPr>
          <w:rStyle w:val="FootnoteChar"/>
        </w:rPr>
        <w:t>enters the lake (i.e., the final discharge point).</w:t>
      </w:r>
      <w:r w:rsidR="006B03DA">
        <w:rPr>
          <w:rStyle w:val="FootnoteChar"/>
        </w:rPr>
        <w:t xml:space="preserve"> </w:t>
      </w:r>
      <w:r w:rsidR="006B03DA" w:rsidRPr="006B03DA">
        <w:rPr>
          <w:rStyle w:val="FootnoteChar"/>
        </w:rPr>
        <w:t>Other discharge criteria (for example, rate or volume criteria) may also apply at this location.</w:t>
      </w:r>
    </w:p>
  </w:footnote>
  <w:footnote w:id="14">
    <w:p w14:paraId="174AA6EB" w14:textId="0D061B03" w:rsidR="000E2606" w:rsidRPr="006933D7" w:rsidRDefault="000E2606" w:rsidP="00747434">
      <w:pPr>
        <w:pStyle w:val="Footnote"/>
        <w:rPr>
          <w:lang w:val="en-US"/>
        </w:rPr>
      </w:pPr>
      <w:r>
        <w:rPr>
          <w:rStyle w:val="FootnoteReference"/>
        </w:rPr>
        <w:footnoteRef/>
      </w:r>
      <w:r>
        <w:t xml:space="preserve"> For waters of superior quality or that support valuable biological resources, the CCME nondegradation policy states that “the degradation of the existing water quality should always be avoided.” CCME (1999), Canadian Environmental Quality Guidelines. Guidelines and Standards Division, Winnipeg, MB.</w:t>
      </w:r>
    </w:p>
  </w:footnote>
  <w:footnote w:id="15">
    <w:p w14:paraId="4623A22F" w14:textId="1F231331" w:rsidR="00ED34FC" w:rsidRPr="00DC638D" w:rsidRDefault="00ED34FC">
      <w:pPr>
        <w:pStyle w:val="FootnoteText"/>
      </w:pPr>
      <w:r>
        <w:rPr>
          <w:rStyle w:val="FootnoteReference"/>
        </w:rPr>
        <w:footnoteRef/>
      </w:r>
      <w:r>
        <w:t xml:space="preserve"> </w:t>
      </w:r>
      <w:r w:rsidR="00633D0D" w:rsidRPr="00D41017">
        <w:rPr>
          <w:rStyle w:val="FootnoteChar"/>
        </w:rPr>
        <w:t>The LWBs</w:t>
      </w:r>
      <w:r w:rsidR="00983282" w:rsidRPr="00D41017">
        <w:rPr>
          <w:rStyle w:val="FootnoteChar"/>
        </w:rPr>
        <w:t xml:space="preserve"> do not typically include monitoring requirements in land use permits; </w:t>
      </w:r>
      <w:r w:rsidR="006B74E4" w:rsidRPr="00D41017">
        <w:rPr>
          <w:rStyle w:val="FootnoteChar"/>
        </w:rPr>
        <w:t xml:space="preserve">however, permit requirements will </w:t>
      </w:r>
      <w:r w:rsidR="00D41017">
        <w:rPr>
          <w:rStyle w:val="FootnoteChar"/>
        </w:rPr>
        <w:t xml:space="preserve">always be </w:t>
      </w:r>
      <w:r w:rsidR="006B74E4" w:rsidRPr="00D41017">
        <w:rPr>
          <w:rStyle w:val="FootnoteChar"/>
        </w:rPr>
        <w:t xml:space="preserve">determined based on </w:t>
      </w:r>
      <w:r w:rsidR="00D41017" w:rsidRPr="00D41017">
        <w:rPr>
          <w:rStyle w:val="FootnoteChar"/>
        </w:rPr>
        <w:t>the evidence submitted through the regulatory process</w:t>
      </w:r>
      <w:r w:rsidR="006F450F">
        <w:rPr>
          <w:rStyle w:val="FootnoteChar"/>
        </w:rPr>
        <w:t xml:space="preserve"> for a given project</w:t>
      </w:r>
      <w:r w:rsidR="00D41017" w:rsidRPr="00D41017">
        <w:rPr>
          <w:rStyle w:val="FootnoteChar"/>
        </w:rPr>
        <w:t>.</w:t>
      </w:r>
    </w:p>
  </w:footnote>
  <w:footnote w:id="16">
    <w:p w14:paraId="2008705C" w14:textId="0D0D9920" w:rsidR="00106998" w:rsidRPr="00BB51D7" w:rsidRDefault="00106998">
      <w:pPr>
        <w:pStyle w:val="FootnoteText"/>
      </w:pPr>
      <w:r>
        <w:rPr>
          <w:rStyle w:val="FootnoteReference"/>
        </w:rPr>
        <w:footnoteRef/>
      </w:r>
      <w:r>
        <w:t xml:space="preserve"> </w:t>
      </w:r>
      <w:r w:rsidR="00157937" w:rsidRPr="005E1AC2">
        <w:rPr>
          <w:rStyle w:val="FootnoteChar"/>
        </w:rPr>
        <w:t xml:space="preserve">In some cases, </w:t>
      </w:r>
      <w:r w:rsidR="00C16453" w:rsidRPr="005E1AC2">
        <w:rPr>
          <w:rStyle w:val="FootnoteChar"/>
        </w:rPr>
        <w:t xml:space="preserve">proposed </w:t>
      </w:r>
      <w:r w:rsidR="005E1AC2" w:rsidRPr="005E1AC2">
        <w:rPr>
          <w:rStyle w:val="FootnoteChar"/>
        </w:rPr>
        <w:t>response actions</w:t>
      </w:r>
      <w:r w:rsidR="00CA0EAE" w:rsidRPr="005E1AC2">
        <w:rPr>
          <w:rStyle w:val="FootnoteChar"/>
        </w:rPr>
        <w:t xml:space="preserve"> could require an amendment process</w:t>
      </w:r>
      <w:r w:rsidR="00C16453" w:rsidRPr="005E1AC2">
        <w:rPr>
          <w:rStyle w:val="FootnoteChar"/>
        </w:rPr>
        <w:t xml:space="preserve"> and, possibly, </w:t>
      </w:r>
      <w:r w:rsidR="00434D13" w:rsidRPr="005E1AC2">
        <w:rPr>
          <w:rStyle w:val="FootnoteChar"/>
        </w:rPr>
        <w:t xml:space="preserve">a </w:t>
      </w:r>
      <w:r w:rsidR="00C16453" w:rsidRPr="005E1AC2">
        <w:rPr>
          <w:rStyle w:val="FootnoteChar"/>
        </w:rPr>
        <w:t>preliminary screening.</w:t>
      </w:r>
      <w:r w:rsidR="00C16453">
        <w:t xml:space="preserve"> </w:t>
      </w:r>
    </w:p>
  </w:footnote>
  <w:footnote w:id="17">
    <w:p w14:paraId="127549B4" w14:textId="33DC5B2D" w:rsidR="000E2606" w:rsidRPr="00CA3D4E" w:rsidRDefault="000E2606" w:rsidP="005645A1">
      <w:pPr>
        <w:pStyle w:val="Footnote"/>
        <w:rPr>
          <w:lang w:val="en-US"/>
        </w:rPr>
      </w:pPr>
      <w:r>
        <w:rPr>
          <w:rStyle w:val="FootnoteReference"/>
        </w:rPr>
        <w:footnoteRef/>
      </w:r>
      <w:r>
        <w:t xml:space="preserve"> See the Apply for Permit/Licence webpage on any of the </w:t>
      </w:r>
      <w:r w:rsidR="0005020D">
        <w:t>LWB</w:t>
      </w:r>
      <w:r>
        <w:t xml:space="preserve"> websites to access the Application Form</w:t>
      </w:r>
      <w:r w:rsidR="000726E7">
        <w:t>s</w:t>
      </w:r>
      <w:r>
        <w:t xml:space="preserve"> and </w:t>
      </w:r>
      <w:r w:rsidR="0005020D">
        <w:t>Guides</w:t>
      </w:r>
      <w:r>
        <w:t xml:space="preserve">. </w:t>
      </w:r>
    </w:p>
  </w:footnote>
  <w:footnote w:id="18">
    <w:p w14:paraId="144A8CBB" w14:textId="0ADFA4EF" w:rsidR="000F1F1A" w:rsidRPr="0049009D" w:rsidRDefault="000F1F1A" w:rsidP="00883A5B">
      <w:pPr>
        <w:spacing w:after="0" w:line="240" w:lineRule="auto"/>
        <w:rPr>
          <w:sz w:val="18"/>
          <w:szCs w:val="18"/>
        </w:rPr>
      </w:pPr>
      <w:r w:rsidRPr="00800A79">
        <w:rPr>
          <w:rStyle w:val="FootnoteReference"/>
          <w:sz w:val="18"/>
          <w:szCs w:val="18"/>
        </w:rPr>
        <w:footnoteRef/>
      </w:r>
      <w:r w:rsidRPr="00800A79">
        <w:rPr>
          <w:sz w:val="18"/>
          <w:szCs w:val="18"/>
        </w:rPr>
        <w:t xml:space="preserve"> </w:t>
      </w:r>
      <w:r w:rsidRPr="00800A79">
        <w:rPr>
          <w:sz w:val="18"/>
          <w:szCs w:val="18"/>
          <w:lang w:val="en-US"/>
        </w:rPr>
        <w:t xml:space="preserve">See the </w:t>
      </w:r>
      <w:r w:rsidR="00540502" w:rsidRPr="00800A79">
        <w:rPr>
          <w:sz w:val="18"/>
          <w:szCs w:val="18"/>
        </w:rPr>
        <w:t xml:space="preserve">the Policies and Resources webpage on any of the </w:t>
      </w:r>
      <w:r w:rsidR="0005020D">
        <w:rPr>
          <w:sz w:val="18"/>
          <w:szCs w:val="18"/>
        </w:rPr>
        <w:t>LWB</w:t>
      </w:r>
      <w:r w:rsidR="00540502" w:rsidRPr="00800A79">
        <w:rPr>
          <w:sz w:val="18"/>
          <w:szCs w:val="18"/>
        </w:rPr>
        <w:t xml:space="preserve"> websites </w:t>
      </w:r>
      <w:r w:rsidR="00800A79" w:rsidRPr="00800A79">
        <w:rPr>
          <w:sz w:val="18"/>
          <w:szCs w:val="18"/>
        </w:rPr>
        <w:t xml:space="preserve">to access the </w:t>
      </w:r>
      <w:r w:rsidR="0003071A" w:rsidRPr="00800A79">
        <w:rPr>
          <w:sz w:val="18"/>
          <w:szCs w:val="18"/>
        </w:rPr>
        <w:t xml:space="preserve">MVLWB/GNWT </w:t>
      </w:r>
      <w:hyperlink r:id="rId12" w:history="1">
        <w:r w:rsidR="0003071A" w:rsidRPr="00800A79">
          <w:rPr>
            <w:i/>
            <w:iCs/>
            <w:color w:val="0563C1" w:themeColor="hyperlink"/>
            <w:sz w:val="18"/>
            <w:szCs w:val="18"/>
            <w:u w:val="single"/>
          </w:rPr>
          <w:t>Guidelines for Effluent Mixing Zones</w:t>
        </w:r>
      </w:hyperlink>
      <w:r w:rsidR="0003071A" w:rsidRPr="00800A79">
        <w:rPr>
          <w:i/>
          <w:iCs/>
          <w:sz w:val="18"/>
          <w:szCs w:val="18"/>
        </w:rPr>
        <w:t xml:space="preserve"> </w:t>
      </w:r>
      <w:r w:rsidR="0003071A" w:rsidRPr="00800A79">
        <w:rPr>
          <w:sz w:val="18"/>
          <w:szCs w:val="18"/>
        </w:rPr>
        <w:t xml:space="preserve">for more </w:t>
      </w:r>
      <w:r w:rsidR="006952DD" w:rsidRPr="00800A79">
        <w:rPr>
          <w:sz w:val="18"/>
          <w:szCs w:val="18"/>
        </w:rPr>
        <w:t xml:space="preserve">details about proposing a mixing zone. </w:t>
      </w:r>
    </w:p>
  </w:footnote>
  <w:footnote w:id="19">
    <w:p w14:paraId="3C6C6D41" w14:textId="342F7AC0" w:rsidR="00834A00" w:rsidRPr="00834A00" w:rsidRDefault="00834A00" w:rsidP="00E4723F">
      <w:pPr>
        <w:pStyle w:val="FootnoteText"/>
        <w:jc w:val="left"/>
      </w:pPr>
      <w:r>
        <w:rPr>
          <w:rStyle w:val="FootnoteReference"/>
        </w:rPr>
        <w:footnoteRef/>
      </w:r>
      <w:r>
        <w:t xml:space="preserve"> </w:t>
      </w:r>
      <w:r w:rsidR="00A141B0" w:rsidRPr="00A141B0">
        <w:rPr>
          <w:sz w:val="18"/>
          <w:szCs w:val="18"/>
        </w:rPr>
        <w:t xml:space="preserve">In addition to following local protocols, policies, and guidelines for gathering Traditional Knowledge, the </w:t>
      </w:r>
      <w:r w:rsidR="00A141B0">
        <w:rPr>
          <w:sz w:val="18"/>
          <w:szCs w:val="18"/>
        </w:rPr>
        <w:t>LWBs</w:t>
      </w:r>
      <w:r w:rsidR="00A141B0" w:rsidRPr="00A141B0">
        <w:rPr>
          <w:sz w:val="18"/>
          <w:szCs w:val="18"/>
        </w:rPr>
        <w:t xml:space="preserve"> highlight the importance of using and considering this </w:t>
      </w:r>
      <w:r w:rsidR="005C4CFD">
        <w:rPr>
          <w:sz w:val="18"/>
          <w:szCs w:val="18"/>
        </w:rPr>
        <w:t>K</w:t>
      </w:r>
      <w:r w:rsidR="00A141B0" w:rsidRPr="00A141B0">
        <w:rPr>
          <w:sz w:val="18"/>
          <w:szCs w:val="18"/>
        </w:rPr>
        <w:t>nowledge in a way that respects the intentions of communities, Indigenous governments and organizations, and the individual Traditional Knowledge holders that provided it.</w:t>
      </w:r>
      <w:r w:rsidR="005C4CFD">
        <w:rPr>
          <w:sz w:val="18"/>
          <w:szCs w:val="18"/>
        </w:rPr>
        <w:t xml:space="preserve"> For more information, please see the Review Board’s </w:t>
      </w:r>
      <w:hyperlink r:id="rId13" w:history="1">
        <w:r w:rsidR="005C4CFD" w:rsidRPr="005C4CFD">
          <w:rPr>
            <w:rStyle w:val="Hyperlink"/>
            <w:i/>
            <w:iCs/>
            <w:sz w:val="18"/>
            <w:szCs w:val="18"/>
          </w:rPr>
          <w:t>Guidelines for Incorporating Traditional Knowledge in Environmental Impact Assessment</w:t>
        </w:r>
      </w:hyperlink>
      <w:r w:rsidR="005C4CFD">
        <w:rPr>
          <w:sz w:val="18"/>
          <w:szCs w:val="18"/>
        </w:rPr>
        <w:t>, which has been adopted by the LWBs and is available on the Review Board’s website (</w:t>
      </w:r>
      <w:hyperlink r:id="rId14" w:history="1">
        <w:r w:rsidR="005C4CFD" w:rsidRPr="0049009D">
          <w:rPr>
            <w:rStyle w:val="Hyperlink"/>
            <w:sz w:val="18"/>
            <w:szCs w:val="18"/>
          </w:rPr>
          <w:t>www.reviewboard.ca</w:t>
        </w:r>
      </w:hyperlink>
      <w:r w:rsidR="005C4CFD">
        <w:rPr>
          <w:sz w:val="18"/>
          <w:szCs w:val="18"/>
        </w:rPr>
        <w:t>).</w:t>
      </w:r>
      <w:r w:rsidR="005C4CFD">
        <w:rPr>
          <w:i/>
          <w:iCs/>
          <w:sz w:val="18"/>
          <w:szCs w:val="18"/>
        </w:rPr>
        <w:t xml:space="preserve"> </w:t>
      </w:r>
    </w:p>
  </w:footnote>
  <w:footnote w:id="20">
    <w:p w14:paraId="257346DB" w14:textId="6BA2836C" w:rsidR="00531B16" w:rsidRPr="00531B16" w:rsidRDefault="00531B16">
      <w:pPr>
        <w:pStyle w:val="FootnoteText"/>
        <w:rPr>
          <w:sz w:val="18"/>
          <w:szCs w:val="18"/>
        </w:rPr>
      </w:pPr>
      <w:r w:rsidRPr="00531B16">
        <w:rPr>
          <w:rStyle w:val="FootnoteReference"/>
          <w:sz w:val="18"/>
          <w:szCs w:val="18"/>
        </w:rPr>
        <w:footnoteRef/>
      </w:r>
      <w:r w:rsidRPr="00531B16">
        <w:rPr>
          <w:sz w:val="18"/>
          <w:szCs w:val="18"/>
        </w:rPr>
        <w:t xml:space="preserve"> See the Review Board’s</w:t>
      </w:r>
      <w:r>
        <w:rPr>
          <w:sz w:val="18"/>
          <w:szCs w:val="18"/>
        </w:rPr>
        <w:t xml:space="preserve"> website (</w:t>
      </w:r>
      <w:hyperlink r:id="rId15" w:history="1">
        <w:r w:rsidRPr="00531B16">
          <w:rPr>
            <w:rStyle w:val="Hyperlink"/>
            <w:sz w:val="18"/>
            <w:szCs w:val="18"/>
          </w:rPr>
          <w:t>www.reviewboard.ca</w:t>
        </w:r>
      </w:hyperlink>
      <w:r>
        <w:rPr>
          <w:sz w:val="18"/>
          <w:szCs w:val="18"/>
        </w:rPr>
        <w:t xml:space="preserve">) </w:t>
      </w:r>
      <w:r w:rsidRPr="00531B16">
        <w:rPr>
          <w:sz w:val="18"/>
          <w:szCs w:val="18"/>
        </w:rPr>
        <w:t xml:space="preserve">to access the </w:t>
      </w:r>
      <w:hyperlink r:id="rId16" w:history="1">
        <w:r w:rsidRPr="00531B16">
          <w:rPr>
            <w:rStyle w:val="Hyperlink"/>
            <w:i/>
            <w:iCs/>
            <w:sz w:val="18"/>
            <w:szCs w:val="18"/>
          </w:rPr>
          <w:t>Environmental Assessment Initiation Guidelines for Developers of Major Projects</w:t>
        </w:r>
      </w:hyperlink>
      <w:r w:rsidRPr="00531B16">
        <w:rPr>
          <w:sz w:val="18"/>
          <w:szCs w:val="18"/>
        </w:rPr>
        <w:t xml:space="preserve">, which are currently in draft form. </w:t>
      </w:r>
    </w:p>
  </w:footnote>
  <w:footnote w:id="21">
    <w:p w14:paraId="31E2DEEE" w14:textId="4561AF6C" w:rsidR="000E2606" w:rsidRPr="00664872" w:rsidRDefault="000E2606">
      <w:pPr>
        <w:pStyle w:val="FootnoteText"/>
        <w:rPr>
          <w:sz w:val="18"/>
          <w:szCs w:val="18"/>
        </w:rPr>
      </w:pPr>
      <w:r w:rsidRPr="00664872">
        <w:rPr>
          <w:rStyle w:val="FootnoteReference"/>
          <w:sz w:val="18"/>
          <w:szCs w:val="18"/>
        </w:rPr>
        <w:footnoteRef/>
      </w:r>
      <w:r w:rsidRPr="00664872">
        <w:rPr>
          <w:sz w:val="18"/>
          <w:szCs w:val="18"/>
        </w:rPr>
        <w:t xml:space="preserve"> See subsection 27(5) of the Waters Act and subsection 72.04(5) of the MVRMA.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A8C2" w14:textId="550A9666" w:rsidR="001D1B91" w:rsidRDefault="003F66EE">
    <w:pPr>
      <w:pStyle w:val="Header"/>
    </w:pPr>
    <w:r>
      <w:rPr>
        <w:noProof/>
      </w:rPr>
      <w:pict w14:anchorId="1B3ED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19" o:spid="_x0000_s1026" type="#_x0000_t136" style="position:absolute;left:0;text-align:left;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2B25" w14:textId="432C730F" w:rsidR="001D1B91" w:rsidRDefault="003F66EE">
    <w:pPr>
      <w:pStyle w:val="Header"/>
    </w:pPr>
    <w:r>
      <w:rPr>
        <w:noProof/>
      </w:rPr>
      <w:pict w14:anchorId="48AD8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20" o:spid="_x0000_s1027" type="#_x0000_t136" style="position:absolute;left:0;text-align:left;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36A5" w14:textId="1C23E2B5" w:rsidR="001D1B91" w:rsidRDefault="003F66EE">
    <w:pPr>
      <w:pStyle w:val="Header"/>
    </w:pPr>
    <w:r>
      <w:rPr>
        <w:noProof/>
      </w:rPr>
      <w:pict w14:anchorId="23D0C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18"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0455" w14:textId="4C88B6FE" w:rsidR="001D1B91" w:rsidRDefault="003F66EE">
    <w:pPr>
      <w:pStyle w:val="Header"/>
    </w:pPr>
    <w:r>
      <w:rPr>
        <w:noProof/>
      </w:rPr>
      <w:pict w14:anchorId="3E187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22" o:spid="_x0000_s1029" type="#_x0000_t136" style="position:absolute;left:0;text-align:left;margin-left:0;margin-top:0;width:412.4pt;height:247.45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7538" w14:textId="303A6237" w:rsidR="0081073E" w:rsidRDefault="003F66EE">
    <w:pPr>
      <w:pStyle w:val="Header"/>
    </w:pPr>
    <w:r>
      <w:rPr>
        <w:noProof/>
      </w:rPr>
      <w:pict w14:anchorId="492BC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23" o:spid="_x0000_s1030" type="#_x0000_t136" style="position:absolute;left:0;text-align:left;margin-left:0;margin-top:0;width:412.4pt;height:247.45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7D70" w14:textId="756A79B1" w:rsidR="001D1B91" w:rsidRDefault="003F66EE">
    <w:pPr>
      <w:pStyle w:val="Header"/>
    </w:pPr>
    <w:r>
      <w:rPr>
        <w:noProof/>
      </w:rPr>
      <w:pict w14:anchorId="01CB7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21" o:spid="_x0000_s1028" type="#_x0000_t136" style="position:absolute;left:0;text-align:left;margin-left:0;margin-top:0;width:412.4pt;height:247.4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606E" w14:textId="2AEEA1C5" w:rsidR="001D1B91" w:rsidRDefault="003F66EE">
    <w:pPr>
      <w:pStyle w:val="Header"/>
    </w:pPr>
    <w:r>
      <w:rPr>
        <w:noProof/>
      </w:rPr>
      <w:pict w14:anchorId="39F94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28" o:spid="_x0000_s1035" type="#_x0000_t136" style="position:absolute;left:0;text-align:left;margin-left:0;margin-top:0;width:412.4pt;height:247.45pt;rotation:315;z-index:-25165823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035FDB" w14:paraId="4EC33E9F" w14:textId="77777777" w:rsidTr="04035FDB">
      <w:tc>
        <w:tcPr>
          <w:tcW w:w="3120" w:type="dxa"/>
        </w:tcPr>
        <w:p w14:paraId="02D33259" w14:textId="3B1894EE" w:rsidR="04035FDB" w:rsidRDefault="04035FDB" w:rsidP="04035FDB">
          <w:pPr>
            <w:pStyle w:val="Header"/>
            <w:ind w:left="-115"/>
            <w:jc w:val="left"/>
          </w:pPr>
        </w:p>
      </w:tc>
      <w:tc>
        <w:tcPr>
          <w:tcW w:w="3120" w:type="dxa"/>
        </w:tcPr>
        <w:p w14:paraId="1906B18A" w14:textId="4C625867" w:rsidR="04035FDB" w:rsidRDefault="04035FDB" w:rsidP="04035FDB">
          <w:pPr>
            <w:pStyle w:val="Header"/>
            <w:jc w:val="center"/>
          </w:pPr>
        </w:p>
      </w:tc>
      <w:tc>
        <w:tcPr>
          <w:tcW w:w="3120" w:type="dxa"/>
        </w:tcPr>
        <w:p w14:paraId="7FE1DAF4" w14:textId="331B620B" w:rsidR="04035FDB" w:rsidRDefault="04035FDB" w:rsidP="04035FDB">
          <w:pPr>
            <w:pStyle w:val="Header"/>
            <w:ind w:right="-115"/>
            <w:jc w:val="right"/>
          </w:pPr>
        </w:p>
      </w:tc>
    </w:tr>
  </w:tbl>
  <w:p w14:paraId="1F02C371" w14:textId="0E875A8D" w:rsidR="0081073E" w:rsidRDefault="003F66EE">
    <w:pPr>
      <w:pStyle w:val="Header"/>
    </w:pPr>
    <w:r>
      <w:rPr>
        <w:noProof/>
      </w:rPr>
      <w:pict w14:anchorId="4187B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29" o:spid="_x0000_s1036" type="#_x0000_t136" style="position:absolute;left:0;text-align:left;margin-left:0;margin-top:0;width:412.4pt;height:247.45pt;rotation:315;z-index:-251658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7F41" w14:textId="5D3AA47B" w:rsidR="001D1B91" w:rsidRDefault="003F66EE">
    <w:pPr>
      <w:pStyle w:val="Header"/>
    </w:pPr>
    <w:r>
      <w:rPr>
        <w:noProof/>
      </w:rPr>
      <w:pict w14:anchorId="21FF6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19727" o:spid="_x0000_s1034" type="#_x0000_t136" style="position:absolute;left:0;text-align:left;margin-left:0;margin-top:0;width:412.4pt;height:247.45pt;rotation:315;z-index:-25165823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93F"/>
    <w:multiLevelType w:val="hybridMultilevel"/>
    <w:tmpl w:val="28FEF79C"/>
    <w:lvl w:ilvl="0" w:tplc="CE08919C">
      <w:start w:val="1"/>
      <w:numFmt w:val="bullet"/>
      <w:lvlText w:val="•"/>
      <w:lvlJc w:val="left"/>
      <w:pPr>
        <w:ind w:left="295" w:hanging="159"/>
      </w:pPr>
      <w:rPr>
        <w:rFonts w:ascii="Century Gothic" w:eastAsia="Century Gothic" w:hAnsi="Century Gothic" w:hint="default"/>
        <w:sz w:val="18"/>
        <w:szCs w:val="18"/>
      </w:rPr>
    </w:lvl>
    <w:lvl w:ilvl="1" w:tplc="A2A6529A">
      <w:start w:val="1"/>
      <w:numFmt w:val="bullet"/>
      <w:lvlText w:val="•"/>
      <w:lvlJc w:val="left"/>
      <w:pPr>
        <w:ind w:left="732" w:hanging="159"/>
      </w:pPr>
      <w:rPr>
        <w:rFonts w:hint="default"/>
      </w:rPr>
    </w:lvl>
    <w:lvl w:ilvl="2" w:tplc="77241746">
      <w:start w:val="1"/>
      <w:numFmt w:val="bullet"/>
      <w:lvlText w:val="•"/>
      <w:lvlJc w:val="left"/>
      <w:pPr>
        <w:ind w:left="1170" w:hanging="159"/>
      </w:pPr>
      <w:rPr>
        <w:rFonts w:hint="default"/>
      </w:rPr>
    </w:lvl>
    <w:lvl w:ilvl="3" w:tplc="47FCF0F0">
      <w:start w:val="1"/>
      <w:numFmt w:val="bullet"/>
      <w:lvlText w:val="•"/>
      <w:lvlJc w:val="left"/>
      <w:pPr>
        <w:ind w:left="1607" w:hanging="159"/>
      </w:pPr>
      <w:rPr>
        <w:rFonts w:hint="default"/>
      </w:rPr>
    </w:lvl>
    <w:lvl w:ilvl="4" w:tplc="D20A64EC">
      <w:start w:val="1"/>
      <w:numFmt w:val="bullet"/>
      <w:lvlText w:val="•"/>
      <w:lvlJc w:val="left"/>
      <w:pPr>
        <w:ind w:left="2045" w:hanging="159"/>
      </w:pPr>
      <w:rPr>
        <w:rFonts w:hint="default"/>
      </w:rPr>
    </w:lvl>
    <w:lvl w:ilvl="5" w:tplc="1CA09C34">
      <w:start w:val="1"/>
      <w:numFmt w:val="bullet"/>
      <w:lvlText w:val="•"/>
      <w:lvlJc w:val="left"/>
      <w:pPr>
        <w:ind w:left="2482" w:hanging="159"/>
      </w:pPr>
      <w:rPr>
        <w:rFonts w:hint="default"/>
      </w:rPr>
    </w:lvl>
    <w:lvl w:ilvl="6" w:tplc="E6642B86">
      <w:start w:val="1"/>
      <w:numFmt w:val="bullet"/>
      <w:lvlText w:val="•"/>
      <w:lvlJc w:val="left"/>
      <w:pPr>
        <w:ind w:left="2920" w:hanging="159"/>
      </w:pPr>
      <w:rPr>
        <w:rFonts w:hint="default"/>
      </w:rPr>
    </w:lvl>
    <w:lvl w:ilvl="7" w:tplc="F8707D8E">
      <w:start w:val="1"/>
      <w:numFmt w:val="bullet"/>
      <w:lvlText w:val="•"/>
      <w:lvlJc w:val="left"/>
      <w:pPr>
        <w:ind w:left="3357" w:hanging="159"/>
      </w:pPr>
      <w:rPr>
        <w:rFonts w:hint="default"/>
      </w:rPr>
    </w:lvl>
    <w:lvl w:ilvl="8" w:tplc="26A85BDC">
      <w:start w:val="1"/>
      <w:numFmt w:val="bullet"/>
      <w:lvlText w:val="•"/>
      <w:lvlJc w:val="left"/>
      <w:pPr>
        <w:ind w:left="3795" w:hanging="159"/>
      </w:pPr>
      <w:rPr>
        <w:rFonts w:hint="default"/>
      </w:rPr>
    </w:lvl>
  </w:abstractNum>
  <w:abstractNum w:abstractNumId="1" w15:restartNumberingAfterBreak="0">
    <w:nsid w:val="084F7743"/>
    <w:multiLevelType w:val="hybridMultilevel"/>
    <w:tmpl w:val="14901A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5D7B77"/>
    <w:multiLevelType w:val="hybridMultilevel"/>
    <w:tmpl w:val="8BDCF456"/>
    <w:lvl w:ilvl="0" w:tplc="2E3E8332">
      <w:start w:val="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C15046"/>
    <w:multiLevelType w:val="hybridMultilevel"/>
    <w:tmpl w:val="A4B8D4F0"/>
    <w:lvl w:ilvl="0" w:tplc="D63A151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FB5449"/>
    <w:multiLevelType w:val="hybridMultilevel"/>
    <w:tmpl w:val="592EC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A36C70"/>
    <w:multiLevelType w:val="hybridMultilevel"/>
    <w:tmpl w:val="C51A122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D7338A"/>
    <w:multiLevelType w:val="hybridMultilevel"/>
    <w:tmpl w:val="4FBA0F26"/>
    <w:lvl w:ilvl="0" w:tplc="2E3E8332">
      <w:start w:val="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061D88"/>
    <w:multiLevelType w:val="multilevel"/>
    <w:tmpl w:val="D3145A7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color w:val="0C6E5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0F351B56"/>
    <w:multiLevelType w:val="hybridMultilevel"/>
    <w:tmpl w:val="BAF87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F6E2A7C"/>
    <w:multiLevelType w:val="hybridMultilevel"/>
    <w:tmpl w:val="9C0010E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1A803DE"/>
    <w:multiLevelType w:val="hybridMultilevel"/>
    <w:tmpl w:val="7BF61B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B31E7F"/>
    <w:multiLevelType w:val="hybridMultilevel"/>
    <w:tmpl w:val="33000042"/>
    <w:lvl w:ilvl="0" w:tplc="2E3E8332">
      <w:start w:val="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375F58"/>
    <w:multiLevelType w:val="hybridMultilevel"/>
    <w:tmpl w:val="17F44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6C17C7"/>
    <w:multiLevelType w:val="hybridMultilevel"/>
    <w:tmpl w:val="D26279D4"/>
    <w:lvl w:ilvl="0" w:tplc="FDDC709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9260458"/>
    <w:multiLevelType w:val="multilevel"/>
    <w:tmpl w:val="00503C42"/>
    <w:lvl w:ilvl="0">
      <w:start w:val="1"/>
      <w:numFmt w:val="decimal"/>
      <w:pStyle w:val="Heading1"/>
      <w:lvlText w:val="%1.0"/>
      <w:lvlJc w:val="left"/>
      <w:pPr>
        <w:ind w:left="432" w:hanging="432"/>
      </w:pPr>
      <w:rPr>
        <w:rFonts w:ascii="Calibri" w:hAnsi="Calibri" w:hint="default"/>
        <w:b/>
        <w:i w:val="0"/>
        <w:sz w:val="22"/>
      </w:rPr>
    </w:lvl>
    <w:lvl w:ilvl="1">
      <w:start w:val="1"/>
      <w:numFmt w:val="decimal"/>
      <w:pStyle w:val="Heading2"/>
      <w:lvlText w:val="%1.%2"/>
      <w:lvlJc w:val="left"/>
      <w:pPr>
        <w:ind w:left="576" w:hanging="576"/>
      </w:pPr>
      <w:rPr>
        <w:rFonts w:ascii="Calibri" w:hAnsi="Calibri" w:hint="default"/>
        <w:b/>
        <w:i w:val="0"/>
        <w:sz w:val="22"/>
      </w:rPr>
    </w:lvl>
    <w:lvl w:ilvl="2">
      <w:start w:val="1"/>
      <w:numFmt w:val="decimal"/>
      <w:pStyle w:val="Heading3"/>
      <w:lvlText w:val="%1.%2.%3"/>
      <w:lvlJc w:val="left"/>
      <w:pPr>
        <w:ind w:left="720" w:hanging="720"/>
      </w:pPr>
      <w:rPr>
        <w:rFonts w:ascii="Calibri" w:hAnsi="Calibri" w:hint="default"/>
        <w:b/>
        <w:i w:val="0"/>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9DB22FE"/>
    <w:multiLevelType w:val="hybridMultilevel"/>
    <w:tmpl w:val="22D4A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451B82"/>
    <w:multiLevelType w:val="hybridMultilevel"/>
    <w:tmpl w:val="EC2259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D07E3F"/>
    <w:multiLevelType w:val="hybridMultilevel"/>
    <w:tmpl w:val="0ED43164"/>
    <w:lvl w:ilvl="0" w:tplc="D2161A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10E47EB"/>
    <w:multiLevelType w:val="hybridMultilevel"/>
    <w:tmpl w:val="8D322D44"/>
    <w:lvl w:ilvl="0" w:tplc="2474FED2">
      <w:start w:val="1"/>
      <w:numFmt w:val="decimal"/>
      <w:lvlText w:val="%1.0"/>
      <w:lvlJc w:val="left"/>
      <w:pPr>
        <w:ind w:left="720" w:hanging="360"/>
      </w:pPr>
      <w:rPr>
        <w:rFonts w:hint="default"/>
      </w:rPr>
    </w:lvl>
    <w:lvl w:ilvl="1" w:tplc="73D63CA4">
      <w:start w:val="1"/>
      <w:numFmt w:val="decimal"/>
      <w:lvlText w:val="1.%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551483A"/>
    <w:multiLevelType w:val="hybridMultilevel"/>
    <w:tmpl w:val="E6226180"/>
    <w:lvl w:ilvl="0" w:tplc="98209DD0">
      <w:start w:val="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5864468"/>
    <w:multiLevelType w:val="multilevel"/>
    <w:tmpl w:val="D3145A7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color w:val="0C6E5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89C15AB"/>
    <w:multiLevelType w:val="hybridMultilevel"/>
    <w:tmpl w:val="CF1E6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AE0367"/>
    <w:multiLevelType w:val="hybridMultilevel"/>
    <w:tmpl w:val="3A10D89C"/>
    <w:lvl w:ilvl="0" w:tplc="99A27F2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B9D69AE"/>
    <w:multiLevelType w:val="hybridMultilevel"/>
    <w:tmpl w:val="F10CDD8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7480482"/>
    <w:multiLevelType w:val="hybridMultilevel"/>
    <w:tmpl w:val="471E9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DA7217"/>
    <w:multiLevelType w:val="hybridMultilevel"/>
    <w:tmpl w:val="43206DB6"/>
    <w:lvl w:ilvl="0" w:tplc="2E3E8332">
      <w:start w:val="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C8293C"/>
    <w:multiLevelType w:val="hybridMultilevel"/>
    <w:tmpl w:val="54B04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5761486"/>
    <w:multiLevelType w:val="hybridMultilevel"/>
    <w:tmpl w:val="2BD052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E4D2DB1"/>
    <w:multiLevelType w:val="hybridMultilevel"/>
    <w:tmpl w:val="21AC13BE"/>
    <w:lvl w:ilvl="0" w:tplc="2E3E8332">
      <w:start w:val="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D17939"/>
    <w:multiLevelType w:val="hybridMultilevel"/>
    <w:tmpl w:val="A24E04F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E90140"/>
    <w:multiLevelType w:val="hybridMultilevel"/>
    <w:tmpl w:val="F2BE27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7383B07"/>
    <w:multiLevelType w:val="hybridMultilevel"/>
    <w:tmpl w:val="58F62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161A5C"/>
    <w:multiLevelType w:val="hybridMultilevel"/>
    <w:tmpl w:val="D6DEC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C863AF9"/>
    <w:multiLevelType w:val="hybridMultilevel"/>
    <w:tmpl w:val="ABCC41BC"/>
    <w:lvl w:ilvl="0" w:tplc="C06C94A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EAE11F5"/>
    <w:multiLevelType w:val="hybridMultilevel"/>
    <w:tmpl w:val="7A8E40C6"/>
    <w:lvl w:ilvl="0" w:tplc="8EA863E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FA9279A"/>
    <w:multiLevelType w:val="hybridMultilevel"/>
    <w:tmpl w:val="0B2E1FC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0667E57"/>
    <w:multiLevelType w:val="hybridMultilevel"/>
    <w:tmpl w:val="EF58A032"/>
    <w:lvl w:ilvl="0" w:tplc="5A2EF4F0">
      <w:start w:val="1"/>
      <w:numFmt w:val="decimal"/>
      <w:lvlText w:val="1.%1"/>
      <w:lvlJc w:val="left"/>
      <w:pPr>
        <w:ind w:left="720" w:hanging="360"/>
      </w:pPr>
      <w:rPr>
        <w:rFonts w:hint="default"/>
      </w:rPr>
    </w:lvl>
    <w:lvl w:ilvl="1" w:tplc="A684A412">
      <w:start w:val="1"/>
      <w:numFmt w:val="decimal"/>
      <w:lvlText w:val="1.%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24837CF"/>
    <w:multiLevelType w:val="hybridMultilevel"/>
    <w:tmpl w:val="5DF263E0"/>
    <w:lvl w:ilvl="0" w:tplc="FDA0A1D8">
      <w:start w:val="1"/>
      <w:numFmt w:val="bullet"/>
      <w:lvlText w:val="•"/>
      <w:lvlJc w:val="left"/>
      <w:pPr>
        <w:ind w:left="295" w:hanging="159"/>
      </w:pPr>
      <w:rPr>
        <w:rFonts w:ascii="Century Gothic" w:eastAsia="Century Gothic" w:hAnsi="Century Gothic" w:hint="default"/>
        <w:sz w:val="18"/>
        <w:szCs w:val="18"/>
      </w:rPr>
    </w:lvl>
    <w:lvl w:ilvl="1" w:tplc="89F63C28">
      <w:start w:val="1"/>
      <w:numFmt w:val="bullet"/>
      <w:lvlText w:val="•"/>
      <w:lvlJc w:val="left"/>
      <w:pPr>
        <w:ind w:left="732" w:hanging="159"/>
      </w:pPr>
      <w:rPr>
        <w:rFonts w:hint="default"/>
      </w:rPr>
    </w:lvl>
    <w:lvl w:ilvl="2" w:tplc="3CA88A36">
      <w:start w:val="1"/>
      <w:numFmt w:val="bullet"/>
      <w:lvlText w:val="•"/>
      <w:lvlJc w:val="left"/>
      <w:pPr>
        <w:ind w:left="1170" w:hanging="159"/>
      </w:pPr>
      <w:rPr>
        <w:rFonts w:hint="default"/>
      </w:rPr>
    </w:lvl>
    <w:lvl w:ilvl="3" w:tplc="E22A225E">
      <w:start w:val="1"/>
      <w:numFmt w:val="bullet"/>
      <w:lvlText w:val="•"/>
      <w:lvlJc w:val="left"/>
      <w:pPr>
        <w:ind w:left="1607" w:hanging="159"/>
      </w:pPr>
      <w:rPr>
        <w:rFonts w:hint="default"/>
      </w:rPr>
    </w:lvl>
    <w:lvl w:ilvl="4" w:tplc="F0B01D68">
      <w:start w:val="1"/>
      <w:numFmt w:val="bullet"/>
      <w:lvlText w:val="•"/>
      <w:lvlJc w:val="left"/>
      <w:pPr>
        <w:ind w:left="2045" w:hanging="159"/>
      </w:pPr>
      <w:rPr>
        <w:rFonts w:hint="default"/>
      </w:rPr>
    </w:lvl>
    <w:lvl w:ilvl="5" w:tplc="70D04F60">
      <w:start w:val="1"/>
      <w:numFmt w:val="bullet"/>
      <w:lvlText w:val="•"/>
      <w:lvlJc w:val="left"/>
      <w:pPr>
        <w:ind w:left="2482" w:hanging="159"/>
      </w:pPr>
      <w:rPr>
        <w:rFonts w:hint="default"/>
      </w:rPr>
    </w:lvl>
    <w:lvl w:ilvl="6" w:tplc="AF0A8BA8">
      <w:start w:val="1"/>
      <w:numFmt w:val="bullet"/>
      <w:lvlText w:val="•"/>
      <w:lvlJc w:val="left"/>
      <w:pPr>
        <w:ind w:left="2920" w:hanging="159"/>
      </w:pPr>
      <w:rPr>
        <w:rFonts w:hint="default"/>
      </w:rPr>
    </w:lvl>
    <w:lvl w:ilvl="7" w:tplc="1AA8EF3E">
      <w:start w:val="1"/>
      <w:numFmt w:val="bullet"/>
      <w:lvlText w:val="•"/>
      <w:lvlJc w:val="left"/>
      <w:pPr>
        <w:ind w:left="3357" w:hanging="159"/>
      </w:pPr>
      <w:rPr>
        <w:rFonts w:hint="default"/>
      </w:rPr>
    </w:lvl>
    <w:lvl w:ilvl="8" w:tplc="C2CEFEF8">
      <w:start w:val="1"/>
      <w:numFmt w:val="bullet"/>
      <w:lvlText w:val="•"/>
      <w:lvlJc w:val="left"/>
      <w:pPr>
        <w:ind w:left="3795" w:hanging="159"/>
      </w:pPr>
      <w:rPr>
        <w:rFonts w:hint="default"/>
      </w:rPr>
    </w:lvl>
  </w:abstractNum>
  <w:abstractNum w:abstractNumId="38" w15:restartNumberingAfterBreak="0">
    <w:nsid w:val="62B92CFD"/>
    <w:multiLevelType w:val="hybridMultilevel"/>
    <w:tmpl w:val="5B9CCC98"/>
    <w:lvl w:ilvl="0" w:tplc="54EC4C8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3B14A17"/>
    <w:multiLevelType w:val="hybridMultilevel"/>
    <w:tmpl w:val="163EA6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96D490B"/>
    <w:multiLevelType w:val="hybridMultilevel"/>
    <w:tmpl w:val="058C42BE"/>
    <w:lvl w:ilvl="0" w:tplc="3274D52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CF52EF4"/>
    <w:multiLevelType w:val="hybridMultilevel"/>
    <w:tmpl w:val="255E063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C227533"/>
    <w:multiLevelType w:val="hybridMultilevel"/>
    <w:tmpl w:val="E1366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6"/>
  </w:num>
  <w:num w:numId="4">
    <w:abstractNumId w:val="13"/>
  </w:num>
  <w:num w:numId="5">
    <w:abstractNumId w:val="20"/>
  </w:num>
  <w:num w:numId="6">
    <w:abstractNumId w:val="20"/>
    <w:lvlOverride w:ilvl="0">
      <w:startOverride w:val="8"/>
    </w:lvlOverride>
    <w:lvlOverride w:ilvl="1">
      <w:startOverride w:val="1"/>
    </w:lvlOverride>
  </w:num>
  <w:num w:numId="7">
    <w:abstractNumId w:val="7"/>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1"/>
  </w:num>
  <w:num w:numId="12">
    <w:abstractNumId w:val="2"/>
  </w:num>
  <w:num w:numId="13">
    <w:abstractNumId w:val="35"/>
  </w:num>
  <w:num w:numId="14">
    <w:abstractNumId w:val="17"/>
  </w:num>
  <w:num w:numId="15">
    <w:abstractNumId w:val="25"/>
  </w:num>
  <w:num w:numId="16">
    <w:abstractNumId w:val="6"/>
  </w:num>
  <w:num w:numId="17">
    <w:abstractNumId w:val="23"/>
  </w:num>
  <w:num w:numId="18">
    <w:abstractNumId w:val="34"/>
  </w:num>
  <w:num w:numId="19">
    <w:abstractNumId w:val="5"/>
  </w:num>
  <w:num w:numId="20">
    <w:abstractNumId w:val="41"/>
  </w:num>
  <w:num w:numId="21">
    <w:abstractNumId w:val="40"/>
  </w:num>
  <w:num w:numId="22">
    <w:abstractNumId w:val="29"/>
  </w:num>
  <w:num w:numId="23">
    <w:abstractNumId w:val="33"/>
  </w:num>
  <w:num w:numId="24">
    <w:abstractNumId w:val="15"/>
  </w:num>
  <w:num w:numId="25">
    <w:abstractNumId w:val="39"/>
  </w:num>
  <w:num w:numId="26">
    <w:abstractNumId w:val="38"/>
  </w:num>
  <w:num w:numId="27">
    <w:abstractNumId w:val="24"/>
  </w:num>
  <w:num w:numId="28">
    <w:abstractNumId w:val="22"/>
  </w:num>
  <w:num w:numId="29">
    <w:abstractNumId w:val="0"/>
  </w:num>
  <w:num w:numId="30">
    <w:abstractNumId w:val="37"/>
  </w:num>
  <w:num w:numId="31">
    <w:abstractNumId w:val="30"/>
  </w:num>
  <w:num w:numId="32">
    <w:abstractNumId w:val="19"/>
  </w:num>
  <w:num w:numId="33">
    <w:abstractNumId w:val="9"/>
  </w:num>
  <w:num w:numId="34">
    <w:abstractNumId w:val="27"/>
  </w:num>
  <w:num w:numId="35">
    <w:abstractNumId w:val="10"/>
  </w:num>
  <w:num w:numId="36">
    <w:abstractNumId w:val="31"/>
  </w:num>
  <w:num w:numId="37">
    <w:abstractNumId w:val="12"/>
  </w:num>
  <w:num w:numId="38">
    <w:abstractNumId w:val="26"/>
  </w:num>
  <w:num w:numId="39">
    <w:abstractNumId w:val="4"/>
  </w:num>
  <w:num w:numId="40">
    <w:abstractNumId w:val="42"/>
  </w:num>
  <w:num w:numId="41">
    <w:abstractNumId w:val="1"/>
  </w:num>
  <w:num w:numId="42">
    <w:abstractNumId w:val="32"/>
  </w:num>
  <w:num w:numId="43">
    <w:abstractNumId w:val="8"/>
  </w:num>
  <w:num w:numId="44">
    <w:abstractNumId w:val="11"/>
  </w:num>
  <w:num w:numId="4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ey Cymbalisty">
    <w15:presenceInfo w15:providerId="None" w15:userId="Lindsey Cymbalis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AB"/>
    <w:rsid w:val="00000843"/>
    <w:rsid w:val="000021E7"/>
    <w:rsid w:val="00002B22"/>
    <w:rsid w:val="00004AC0"/>
    <w:rsid w:val="00005089"/>
    <w:rsid w:val="00005F5B"/>
    <w:rsid w:val="00006E40"/>
    <w:rsid w:val="00011213"/>
    <w:rsid w:val="00012D3C"/>
    <w:rsid w:val="00013BB2"/>
    <w:rsid w:val="00017588"/>
    <w:rsid w:val="000201B7"/>
    <w:rsid w:val="000224C0"/>
    <w:rsid w:val="00023A69"/>
    <w:rsid w:val="0003071A"/>
    <w:rsid w:val="000308A8"/>
    <w:rsid w:val="00030AD0"/>
    <w:rsid w:val="00031664"/>
    <w:rsid w:val="00032073"/>
    <w:rsid w:val="000326E3"/>
    <w:rsid w:val="00032979"/>
    <w:rsid w:val="000339A3"/>
    <w:rsid w:val="00035C4E"/>
    <w:rsid w:val="00036986"/>
    <w:rsid w:val="00036DEC"/>
    <w:rsid w:val="00041B57"/>
    <w:rsid w:val="00043573"/>
    <w:rsid w:val="000446EA"/>
    <w:rsid w:val="000451DE"/>
    <w:rsid w:val="000477FF"/>
    <w:rsid w:val="00047CD7"/>
    <w:rsid w:val="0005020D"/>
    <w:rsid w:val="00050B37"/>
    <w:rsid w:val="000513A3"/>
    <w:rsid w:val="00051F7A"/>
    <w:rsid w:val="00052631"/>
    <w:rsid w:val="0005280E"/>
    <w:rsid w:val="0005282B"/>
    <w:rsid w:val="00052FE7"/>
    <w:rsid w:val="00054126"/>
    <w:rsid w:val="00054267"/>
    <w:rsid w:val="00054345"/>
    <w:rsid w:val="00055137"/>
    <w:rsid w:val="000555D6"/>
    <w:rsid w:val="000558D1"/>
    <w:rsid w:val="00055EC4"/>
    <w:rsid w:val="0005651B"/>
    <w:rsid w:val="000568E3"/>
    <w:rsid w:val="0005712D"/>
    <w:rsid w:val="00057965"/>
    <w:rsid w:val="00057C91"/>
    <w:rsid w:val="00060839"/>
    <w:rsid w:val="00060E51"/>
    <w:rsid w:val="00061838"/>
    <w:rsid w:val="000646F9"/>
    <w:rsid w:val="00064F72"/>
    <w:rsid w:val="00066E72"/>
    <w:rsid w:val="00071A20"/>
    <w:rsid w:val="00071D3C"/>
    <w:rsid w:val="0007209A"/>
    <w:rsid w:val="00072357"/>
    <w:rsid w:val="000725AD"/>
    <w:rsid w:val="000726E7"/>
    <w:rsid w:val="00073D63"/>
    <w:rsid w:val="000745C1"/>
    <w:rsid w:val="00074E7B"/>
    <w:rsid w:val="0007507B"/>
    <w:rsid w:val="0007541C"/>
    <w:rsid w:val="00075618"/>
    <w:rsid w:val="00075B61"/>
    <w:rsid w:val="000763A2"/>
    <w:rsid w:val="00076CFD"/>
    <w:rsid w:val="0008122D"/>
    <w:rsid w:val="00081FB3"/>
    <w:rsid w:val="00084BA5"/>
    <w:rsid w:val="00084D0C"/>
    <w:rsid w:val="00085882"/>
    <w:rsid w:val="000872C2"/>
    <w:rsid w:val="00087ACD"/>
    <w:rsid w:val="00090006"/>
    <w:rsid w:val="00090A28"/>
    <w:rsid w:val="00090FDB"/>
    <w:rsid w:val="000925B4"/>
    <w:rsid w:val="00092BCC"/>
    <w:rsid w:val="00095778"/>
    <w:rsid w:val="00097B8F"/>
    <w:rsid w:val="000A2B36"/>
    <w:rsid w:val="000A35CC"/>
    <w:rsid w:val="000A4A7E"/>
    <w:rsid w:val="000A57F9"/>
    <w:rsid w:val="000A5965"/>
    <w:rsid w:val="000A5DF4"/>
    <w:rsid w:val="000A7419"/>
    <w:rsid w:val="000B2A25"/>
    <w:rsid w:val="000B36B5"/>
    <w:rsid w:val="000B47A3"/>
    <w:rsid w:val="000B49B9"/>
    <w:rsid w:val="000B50D6"/>
    <w:rsid w:val="000B5D5B"/>
    <w:rsid w:val="000B6A64"/>
    <w:rsid w:val="000B6F2E"/>
    <w:rsid w:val="000B749C"/>
    <w:rsid w:val="000C12ED"/>
    <w:rsid w:val="000C25A7"/>
    <w:rsid w:val="000C2838"/>
    <w:rsid w:val="000C2884"/>
    <w:rsid w:val="000C3AC0"/>
    <w:rsid w:val="000C5EF2"/>
    <w:rsid w:val="000C5F52"/>
    <w:rsid w:val="000C6834"/>
    <w:rsid w:val="000D00E9"/>
    <w:rsid w:val="000D0178"/>
    <w:rsid w:val="000D1639"/>
    <w:rsid w:val="000D1EAD"/>
    <w:rsid w:val="000D5656"/>
    <w:rsid w:val="000D5AA3"/>
    <w:rsid w:val="000D5AEF"/>
    <w:rsid w:val="000D65EC"/>
    <w:rsid w:val="000D7EEB"/>
    <w:rsid w:val="000E00BF"/>
    <w:rsid w:val="000E03AD"/>
    <w:rsid w:val="000E0C0C"/>
    <w:rsid w:val="000E11F1"/>
    <w:rsid w:val="000E192B"/>
    <w:rsid w:val="000E1A10"/>
    <w:rsid w:val="000E2606"/>
    <w:rsid w:val="000E2C0C"/>
    <w:rsid w:val="000E35AA"/>
    <w:rsid w:val="000E426F"/>
    <w:rsid w:val="000E53AA"/>
    <w:rsid w:val="000E5C91"/>
    <w:rsid w:val="000F19EC"/>
    <w:rsid w:val="000F1DDC"/>
    <w:rsid w:val="000F1F1A"/>
    <w:rsid w:val="000F27C0"/>
    <w:rsid w:val="000F3BAB"/>
    <w:rsid w:val="000F4E3D"/>
    <w:rsid w:val="000F4E77"/>
    <w:rsid w:val="000F513E"/>
    <w:rsid w:val="000F6520"/>
    <w:rsid w:val="000F6809"/>
    <w:rsid w:val="00100A5F"/>
    <w:rsid w:val="0010146E"/>
    <w:rsid w:val="001015AC"/>
    <w:rsid w:val="00101A51"/>
    <w:rsid w:val="00101BD5"/>
    <w:rsid w:val="0010240A"/>
    <w:rsid w:val="001027F2"/>
    <w:rsid w:val="00102E17"/>
    <w:rsid w:val="001048D9"/>
    <w:rsid w:val="00104DFD"/>
    <w:rsid w:val="001050E0"/>
    <w:rsid w:val="00105756"/>
    <w:rsid w:val="00106998"/>
    <w:rsid w:val="00106E66"/>
    <w:rsid w:val="00107186"/>
    <w:rsid w:val="001076A0"/>
    <w:rsid w:val="00110C74"/>
    <w:rsid w:val="00112AC2"/>
    <w:rsid w:val="00114719"/>
    <w:rsid w:val="0011491D"/>
    <w:rsid w:val="0011532B"/>
    <w:rsid w:val="001162A5"/>
    <w:rsid w:val="00116B72"/>
    <w:rsid w:val="001205C2"/>
    <w:rsid w:val="00121AF4"/>
    <w:rsid w:val="00123178"/>
    <w:rsid w:val="0012390E"/>
    <w:rsid w:val="00124E62"/>
    <w:rsid w:val="0012744B"/>
    <w:rsid w:val="001279C2"/>
    <w:rsid w:val="001305F0"/>
    <w:rsid w:val="001316C2"/>
    <w:rsid w:val="001329D0"/>
    <w:rsid w:val="001333F2"/>
    <w:rsid w:val="00134492"/>
    <w:rsid w:val="00135A38"/>
    <w:rsid w:val="00135A9C"/>
    <w:rsid w:val="0014186E"/>
    <w:rsid w:val="00142A20"/>
    <w:rsid w:val="0014398F"/>
    <w:rsid w:val="00144601"/>
    <w:rsid w:val="00145B91"/>
    <w:rsid w:val="00145B9E"/>
    <w:rsid w:val="001476E1"/>
    <w:rsid w:val="001502F5"/>
    <w:rsid w:val="00150994"/>
    <w:rsid w:val="00150E84"/>
    <w:rsid w:val="001524FD"/>
    <w:rsid w:val="001532C8"/>
    <w:rsid w:val="001550D6"/>
    <w:rsid w:val="00155928"/>
    <w:rsid w:val="00156061"/>
    <w:rsid w:val="00157937"/>
    <w:rsid w:val="00160357"/>
    <w:rsid w:val="0016074E"/>
    <w:rsid w:val="0016188D"/>
    <w:rsid w:val="00161F79"/>
    <w:rsid w:val="00163D5E"/>
    <w:rsid w:val="00165299"/>
    <w:rsid w:val="00167692"/>
    <w:rsid w:val="00167E52"/>
    <w:rsid w:val="00170AA5"/>
    <w:rsid w:val="0017168A"/>
    <w:rsid w:val="00173BD9"/>
    <w:rsid w:val="0017487C"/>
    <w:rsid w:val="0017499A"/>
    <w:rsid w:val="001771EE"/>
    <w:rsid w:val="00177344"/>
    <w:rsid w:val="00177E58"/>
    <w:rsid w:val="001803DB"/>
    <w:rsid w:val="00180449"/>
    <w:rsid w:val="00181713"/>
    <w:rsid w:val="001838DB"/>
    <w:rsid w:val="0018420A"/>
    <w:rsid w:val="00184CD1"/>
    <w:rsid w:val="00185E39"/>
    <w:rsid w:val="001869E1"/>
    <w:rsid w:val="00190016"/>
    <w:rsid w:val="0019075B"/>
    <w:rsid w:val="00191C06"/>
    <w:rsid w:val="00191CAC"/>
    <w:rsid w:val="00191ED3"/>
    <w:rsid w:val="00193ADF"/>
    <w:rsid w:val="001941A9"/>
    <w:rsid w:val="00196D14"/>
    <w:rsid w:val="00196EDC"/>
    <w:rsid w:val="001A07B2"/>
    <w:rsid w:val="001A0BDB"/>
    <w:rsid w:val="001A142C"/>
    <w:rsid w:val="001A22EE"/>
    <w:rsid w:val="001A26BF"/>
    <w:rsid w:val="001A2A9D"/>
    <w:rsid w:val="001A32B1"/>
    <w:rsid w:val="001A3469"/>
    <w:rsid w:val="001A4C8C"/>
    <w:rsid w:val="001A553A"/>
    <w:rsid w:val="001A68F6"/>
    <w:rsid w:val="001B0473"/>
    <w:rsid w:val="001B0493"/>
    <w:rsid w:val="001B0B63"/>
    <w:rsid w:val="001B1B71"/>
    <w:rsid w:val="001B202D"/>
    <w:rsid w:val="001B2E6F"/>
    <w:rsid w:val="001B43B4"/>
    <w:rsid w:val="001B4A3D"/>
    <w:rsid w:val="001B5663"/>
    <w:rsid w:val="001B5E6F"/>
    <w:rsid w:val="001B630F"/>
    <w:rsid w:val="001B7007"/>
    <w:rsid w:val="001C2ACB"/>
    <w:rsid w:val="001C2FE5"/>
    <w:rsid w:val="001C3570"/>
    <w:rsid w:val="001C4786"/>
    <w:rsid w:val="001C6D21"/>
    <w:rsid w:val="001C7109"/>
    <w:rsid w:val="001C79D8"/>
    <w:rsid w:val="001D05F3"/>
    <w:rsid w:val="001D1655"/>
    <w:rsid w:val="001D1B91"/>
    <w:rsid w:val="001D2468"/>
    <w:rsid w:val="001D4391"/>
    <w:rsid w:val="001D5602"/>
    <w:rsid w:val="001D5976"/>
    <w:rsid w:val="001D59C1"/>
    <w:rsid w:val="001E14C3"/>
    <w:rsid w:val="001E1D50"/>
    <w:rsid w:val="001E2F0D"/>
    <w:rsid w:val="001E34F5"/>
    <w:rsid w:val="001E775A"/>
    <w:rsid w:val="001E7EF0"/>
    <w:rsid w:val="001F24C2"/>
    <w:rsid w:val="001F2EEA"/>
    <w:rsid w:val="001F3937"/>
    <w:rsid w:val="001F493A"/>
    <w:rsid w:val="001F49EF"/>
    <w:rsid w:val="001F5BFB"/>
    <w:rsid w:val="001F5D21"/>
    <w:rsid w:val="001F6C62"/>
    <w:rsid w:val="001F7D38"/>
    <w:rsid w:val="002019AD"/>
    <w:rsid w:val="00201AEA"/>
    <w:rsid w:val="0020362E"/>
    <w:rsid w:val="00203F02"/>
    <w:rsid w:val="0020596C"/>
    <w:rsid w:val="0020614D"/>
    <w:rsid w:val="00207478"/>
    <w:rsid w:val="00207BC2"/>
    <w:rsid w:val="00210DDD"/>
    <w:rsid w:val="00211597"/>
    <w:rsid w:val="002118C3"/>
    <w:rsid w:val="00211F82"/>
    <w:rsid w:val="002133D1"/>
    <w:rsid w:val="00213AE0"/>
    <w:rsid w:val="002154B5"/>
    <w:rsid w:val="00217E46"/>
    <w:rsid w:val="00220D3F"/>
    <w:rsid w:val="0022173D"/>
    <w:rsid w:val="00221BAD"/>
    <w:rsid w:val="00222FF6"/>
    <w:rsid w:val="00222FF8"/>
    <w:rsid w:val="00223308"/>
    <w:rsid w:val="00223A67"/>
    <w:rsid w:val="00224593"/>
    <w:rsid w:val="00225BE3"/>
    <w:rsid w:val="00225FA3"/>
    <w:rsid w:val="0022631A"/>
    <w:rsid w:val="0022703C"/>
    <w:rsid w:val="00230E1F"/>
    <w:rsid w:val="00232014"/>
    <w:rsid w:val="002330F8"/>
    <w:rsid w:val="002338EF"/>
    <w:rsid w:val="002345D0"/>
    <w:rsid w:val="002347F6"/>
    <w:rsid w:val="00234906"/>
    <w:rsid w:val="00234BCD"/>
    <w:rsid w:val="00235A41"/>
    <w:rsid w:val="00237ADF"/>
    <w:rsid w:val="00237B78"/>
    <w:rsid w:val="00237C74"/>
    <w:rsid w:val="0024103C"/>
    <w:rsid w:val="00242044"/>
    <w:rsid w:val="00242403"/>
    <w:rsid w:val="00243588"/>
    <w:rsid w:val="00246C92"/>
    <w:rsid w:val="00247039"/>
    <w:rsid w:val="00247197"/>
    <w:rsid w:val="0025119E"/>
    <w:rsid w:val="00251613"/>
    <w:rsid w:val="00251718"/>
    <w:rsid w:val="00251740"/>
    <w:rsid w:val="00252A14"/>
    <w:rsid w:val="00254368"/>
    <w:rsid w:val="002556BC"/>
    <w:rsid w:val="002621EF"/>
    <w:rsid w:val="00265A99"/>
    <w:rsid w:val="002666D3"/>
    <w:rsid w:val="00267743"/>
    <w:rsid w:val="002678C4"/>
    <w:rsid w:val="00267AEB"/>
    <w:rsid w:val="00270DEF"/>
    <w:rsid w:val="002715BF"/>
    <w:rsid w:val="002715CA"/>
    <w:rsid w:val="0027241D"/>
    <w:rsid w:val="002763C5"/>
    <w:rsid w:val="00277B58"/>
    <w:rsid w:val="002803D8"/>
    <w:rsid w:val="002804EB"/>
    <w:rsid w:val="00280793"/>
    <w:rsid w:val="00280EA4"/>
    <w:rsid w:val="00281136"/>
    <w:rsid w:val="0028113D"/>
    <w:rsid w:val="00281523"/>
    <w:rsid w:val="00281C51"/>
    <w:rsid w:val="002820CF"/>
    <w:rsid w:val="00282D02"/>
    <w:rsid w:val="0028375F"/>
    <w:rsid w:val="002847CB"/>
    <w:rsid w:val="002848BC"/>
    <w:rsid w:val="002853B5"/>
    <w:rsid w:val="00285F24"/>
    <w:rsid w:val="0028637D"/>
    <w:rsid w:val="00286DBF"/>
    <w:rsid w:val="00287596"/>
    <w:rsid w:val="00287648"/>
    <w:rsid w:val="00287CB6"/>
    <w:rsid w:val="00290B13"/>
    <w:rsid w:val="00290E29"/>
    <w:rsid w:val="00292CA9"/>
    <w:rsid w:val="0029434D"/>
    <w:rsid w:val="002950C3"/>
    <w:rsid w:val="00296F39"/>
    <w:rsid w:val="002A05DC"/>
    <w:rsid w:val="002A0C25"/>
    <w:rsid w:val="002A61D7"/>
    <w:rsid w:val="002A65C1"/>
    <w:rsid w:val="002A7023"/>
    <w:rsid w:val="002B0796"/>
    <w:rsid w:val="002B1A90"/>
    <w:rsid w:val="002B1CE8"/>
    <w:rsid w:val="002B2A1A"/>
    <w:rsid w:val="002B4B0E"/>
    <w:rsid w:val="002B529D"/>
    <w:rsid w:val="002B54EF"/>
    <w:rsid w:val="002B637F"/>
    <w:rsid w:val="002C097C"/>
    <w:rsid w:val="002C1DC1"/>
    <w:rsid w:val="002C2A14"/>
    <w:rsid w:val="002C34D3"/>
    <w:rsid w:val="002C44B0"/>
    <w:rsid w:val="002C5BBD"/>
    <w:rsid w:val="002C5D7C"/>
    <w:rsid w:val="002C5F98"/>
    <w:rsid w:val="002C676E"/>
    <w:rsid w:val="002C711C"/>
    <w:rsid w:val="002D192F"/>
    <w:rsid w:val="002D48CD"/>
    <w:rsid w:val="002D4B8F"/>
    <w:rsid w:val="002D5981"/>
    <w:rsid w:val="002D64C4"/>
    <w:rsid w:val="002D68BF"/>
    <w:rsid w:val="002D7D44"/>
    <w:rsid w:val="002E0AEA"/>
    <w:rsid w:val="002E1AB0"/>
    <w:rsid w:val="002E3A52"/>
    <w:rsid w:val="002E6D78"/>
    <w:rsid w:val="002F0B69"/>
    <w:rsid w:val="002F0CB0"/>
    <w:rsid w:val="002F11A3"/>
    <w:rsid w:val="002F3E10"/>
    <w:rsid w:val="002F3EDF"/>
    <w:rsid w:val="002F5A96"/>
    <w:rsid w:val="00300343"/>
    <w:rsid w:val="00301FD9"/>
    <w:rsid w:val="00303322"/>
    <w:rsid w:val="003054D4"/>
    <w:rsid w:val="00305EE5"/>
    <w:rsid w:val="00307A8A"/>
    <w:rsid w:val="003102AA"/>
    <w:rsid w:val="0031095F"/>
    <w:rsid w:val="00310D35"/>
    <w:rsid w:val="00311E99"/>
    <w:rsid w:val="003121E4"/>
    <w:rsid w:val="00313089"/>
    <w:rsid w:val="00313329"/>
    <w:rsid w:val="003154CF"/>
    <w:rsid w:val="003162FF"/>
    <w:rsid w:val="00316425"/>
    <w:rsid w:val="00317087"/>
    <w:rsid w:val="00317D0A"/>
    <w:rsid w:val="00320AFF"/>
    <w:rsid w:val="00321775"/>
    <w:rsid w:val="00323A3F"/>
    <w:rsid w:val="00323CF7"/>
    <w:rsid w:val="00323FE9"/>
    <w:rsid w:val="00326440"/>
    <w:rsid w:val="00330400"/>
    <w:rsid w:val="00331988"/>
    <w:rsid w:val="00331DD2"/>
    <w:rsid w:val="00332561"/>
    <w:rsid w:val="0033348E"/>
    <w:rsid w:val="003339E6"/>
    <w:rsid w:val="0033638D"/>
    <w:rsid w:val="00340265"/>
    <w:rsid w:val="0034027A"/>
    <w:rsid w:val="00340571"/>
    <w:rsid w:val="003406CC"/>
    <w:rsid w:val="003408E6"/>
    <w:rsid w:val="0034205E"/>
    <w:rsid w:val="003426CE"/>
    <w:rsid w:val="003426F2"/>
    <w:rsid w:val="0034283E"/>
    <w:rsid w:val="00343EDF"/>
    <w:rsid w:val="003452C2"/>
    <w:rsid w:val="00347467"/>
    <w:rsid w:val="00347BDF"/>
    <w:rsid w:val="00351389"/>
    <w:rsid w:val="003518F5"/>
    <w:rsid w:val="00351BBE"/>
    <w:rsid w:val="0035355B"/>
    <w:rsid w:val="00355DED"/>
    <w:rsid w:val="00356CC3"/>
    <w:rsid w:val="00356FEE"/>
    <w:rsid w:val="00356FFD"/>
    <w:rsid w:val="00357D4A"/>
    <w:rsid w:val="0036049C"/>
    <w:rsid w:val="00360AB4"/>
    <w:rsid w:val="00360FF8"/>
    <w:rsid w:val="003612E9"/>
    <w:rsid w:val="0036145E"/>
    <w:rsid w:val="0036212D"/>
    <w:rsid w:val="00363F21"/>
    <w:rsid w:val="00375B25"/>
    <w:rsid w:val="00375C14"/>
    <w:rsid w:val="00375FFE"/>
    <w:rsid w:val="003762A3"/>
    <w:rsid w:val="00382259"/>
    <w:rsid w:val="00383ADE"/>
    <w:rsid w:val="00383E28"/>
    <w:rsid w:val="00384AFB"/>
    <w:rsid w:val="003873B1"/>
    <w:rsid w:val="00390B2B"/>
    <w:rsid w:val="00391E44"/>
    <w:rsid w:val="00396E98"/>
    <w:rsid w:val="003A14CE"/>
    <w:rsid w:val="003A2B3A"/>
    <w:rsid w:val="003A3237"/>
    <w:rsid w:val="003A367B"/>
    <w:rsid w:val="003A64D9"/>
    <w:rsid w:val="003A66C3"/>
    <w:rsid w:val="003A6F55"/>
    <w:rsid w:val="003B1E84"/>
    <w:rsid w:val="003B2921"/>
    <w:rsid w:val="003B2F35"/>
    <w:rsid w:val="003B4FF5"/>
    <w:rsid w:val="003B6432"/>
    <w:rsid w:val="003C003C"/>
    <w:rsid w:val="003C0198"/>
    <w:rsid w:val="003C131A"/>
    <w:rsid w:val="003C13C4"/>
    <w:rsid w:val="003C4C33"/>
    <w:rsid w:val="003C51E2"/>
    <w:rsid w:val="003C57DA"/>
    <w:rsid w:val="003C66A9"/>
    <w:rsid w:val="003C7DC3"/>
    <w:rsid w:val="003D0B08"/>
    <w:rsid w:val="003D3485"/>
    <w:rsid w:val="003D3624"/>
    <w:rsid w:val="003D3A0E"/>
    <w:rsid w:val="003D4789"/>
    <w:rsid w:val="003D4CA6"/>
    <w:rsid w:val="003D50E8"/>
    <w:rsid w:val="003E0C4A"/>
    <w:rsid w:val="003E273E"/>
    <w:rsid w:val="003E558B"/>
    <w:rsid w:val="003E5FF4"/>
    <w:rsid w:val="003E60F6"/>
    <w:rsid w:val="003E665F"/>
    <w:rsid w:val="003E6A4F"/>
    <w:rsid w:val="003F042E"/>
    <w:rsid w:val="003F0E7C"/>
    <w:rsid w:val="003F0F0D"/>
    <w:rsid w:val="003F1E41"/>
    <w:rsid w:val="003F30A2"/>
    <w:rsid w:val="003F377F"/>
    <w:rsid w:val="003F3EC7"/>
    <w:rsid w:val="003F4560"/>
    <w:rsid w:val="003F4A07"/>
    <w:rsid w:val="003F53B8"/>
    <w:rsid w:val="003F66EE"/>
    <w:rsid w:val="0040012D"/>
    <w:rsid w:val="00400F44"/>
    <w:rsid w:val="00402797"/>
    <w:rsid w:val="00403961"/>
    <w:rsid w:val="00403ABE"/>
    <w:rsid w:val="00404EA4"/>
    <w:rsid w:val="00404FEE"/>
    <w:rsid w:val="00405CE9"/>
    <w:rsid w:val="004105ED"/>
    <w:rsid w:val="00410FA8"/>
    <w:rsid w:val="00411290"/>
    <w:rsid w:val="00412B7A"/>
    <w:rsid w:val="00412E64"/>
    <w:rsid w:val="00412EE7"/>
    <w:rsid w:val="00414094"/>
    <w:rsid w:val="00414527"/>
    <w:rsid w:val="0041597C"/>
    <w:rsid w:val="00416409"/>
    <w:rsid w:val="00416CE5"/>
    <w:rsid w:val="00420355"/>
    <w:rsid w:val="00423084"/>
    <w:rsid w:val="004234E0"/>
    <w:rsid w:val="0042390B"/>
    <w:rsid w:val="004259C8"/>
    <w:rsid w:val="00426E20"/>
    <w:rsid w:val="00430C77"/>
    <w:rsid w:val="00431D7E"/>
    <w:rsid w:val="0043226A"/>
    <w:rsid w:val="00432808"/>
    <w:rsid w:val="00434D13"/>
    <w:rsid w:val="004411FF"/>
    <w:rsid w:val="00443C7B"/>
    <w:rsid w:val="00444612"/>
    <w:rsid w:val="004447AD"/>
    <w:rsid w:val="00444D7F"/>
    <w:rsid w:val="00446C2E"/>
    <w:rsid w:val="00447BEE"/>
    <w:rsid w:val="00447DA1"/>
    <w:rsid w:val="0045114B"/>
    <w:rsid w:val="004519BD"/>
    <w:rsid w:val="004559A0"/>
    <w:rsid w:val="004572F2"/>
    <w:rsid w:val="00457E27"/>
    <w:rsid w:val="004620BC"/>
    <w:rsid w:val="00462140"/>
    <w:rsid w:val="00462E46"/>
    <w:rsid w:val="00463613"/>
    <w:rsid w:val="00463E5F"/>
    <w:rsid w:val="00464021"/>
    <w:rsid w:val="0046467C"/>
    <w:rsid w:val="004652CD"/>
    <w:rsid w:val="004655ED"/>
    <w:rsid w:val="00466929"/>
    <w:rsid w:val="0046764E"/>
    <w:rsid w:val="00467AE7"/>
    <w:rsid w:val="0047293B"/>
    <w:rsid w:val="00472B06"/>
    <w:rsid w:val="00473FDB"/>
    <w:rsid w:val="0047539B"/>
    <w:rsid w:val="00476F92"/>
    <w:rsid w:val="0048004A"/>
    <w:rsid w:val="00480206"/>
    <w:rsid w:val="00480C4F"/>
    <w:rsid w:val="00480C5A"/>
    <w:rsid w:val="00480F58"/>
    <w:rsid w:val="0048405B"/>
    <w:rsid w:val="00484858"/>
    <w:rsid w:val="00484E3B"/>
    <w:rsid w:val="004850C5"/>
    <w:rsid w:val="0048661B"/>
    <w:rsid w:val="0048779C"/>
    <w:rsid w:val="0049009D"/>
    <w:rsid w:val="00491B0E"/>
    <w:rsid w:val="00492346"/>
    <w:rsid w:val="00493016"/>
    <w:rsid w:val="00495728"/>
    <w:rsid w:val="0049745A"/>
    <w:rsid w:val="00497C2E"/>
    <w:rsid w:val="004A03B0"/>
    <w:rsid w:val="004A084F"/>
    <w:rsid w:val="004A1517"/>
    <w:rsid w:val="004A1680"/>
    <w:rsid w:val="004A250E"/>
    <w:rsid w:val="004A293E"/>
    <w:rsid w:val="004A38AD"/>
    <w:rsid w:val="004A4F70"/>
    <w:rsid w:val="004A59E9"/>
    <w:rsid w:val="004A64FE"/>
    <w:rsid w:val="004A7F74"/>
    <w:rsid w:val="004B0ECA"/>
    <w:rsid w:val="004B1311"/>
    <w:rsid w:val="004B2C2D"/>
    <w:rsid w:val="004B2F5B"/>
    <w:rsid w:val="004B6C1C"/>
    <w:rsid w:val="004B78F3"/>
    <w:rsid w:val="004C1F1B"/>
    <w:rsid w:val="004C1F66"/>
    <w:rsid w:val="004C20FA"/>
    <w:rsid w:val="004C25C2"/>
    <w:rsid w:val="004C3FA7"/>
    <w:rsid w:val="004C5ACF"/>
    <w:rsid w:val="004C7B23"/>
    <w:rsid w:val="004D172A"/>
    <w:rsid w:val="004D2694"/>
    <w:rsid w:val="004D38DA"/>
    <w:rsid w:val="004D5AF7"/>
    <w:rsid w:val="004D6EF6"/>
    <w:rsid w:val="004E488E"/>
    <w:rsid w:val="004E5B25"/>
    <w:rsid w:val="004E6164"/>
    <w:rsid w:val="004F117D"/>
    <w:rsid w:val="004F1306"/>
    <w:rsid w:val="004F14C1"/>
    <w:rsid w:val="004F1B65"/>
    <w:rsid w:val="004F1DF1"/>
    <w:rsid w:val="004F3A72"/>
    <w:rsid w:val="004F44F5"/>
    <w:rsid w:val="004F50D2"/>
    <w:rsid w:val="004F5C0D"/>
    <w:rsid w:val="004F6010"/>
    <w:rsid w:val="004F6A1F"/>
    <w:rsid w:val="005013C3"/>
    <w:rsid w:val="00501522"/>
    <w:rsid w:val="00501669"/>
    <w:rsid w:val="00502F02"/>
    <w:rsid w:val="005045D3"/>
    <w:rsid w:val="00506454"/>
    <w:rsid w:val="005068C2"/>
    <w:rsid w:val="00506CE0"/>
    <w:rsid w:val="0051031F"/>
    <w:rsid w:val="0051069E"/>
    <w:rsid w:val="00511B2C"/>
    <w:rsid w:val="005127AF"/>
    <w:rsid w:val="00513676"/>
    <w:rsid w:val="00513780"/>
    <w:rsid w:val="00515200"/>
    <w:rsid w:val="005164C9"/>
    <w:rsid w:val="00516ECF"/>
    <w:rsid w:val="005201B9"/>
    <w:rsid w:val="005208E2"/>
    <w:rsid w:val="00521EC8"/>
    <w:rsid w:val="00523CAE"/>
    <w:rsid w:val="00523D76"/>
    <w:rsid w:val="00525874"/>
    <w:rsid w:val="00526653"/>
    <w:rsid w:val="00531B16"/>
    <w:rsid w:val="00531FCC"/>
    <w:rsid w:val="0053226B"/>
    <w:rsid w:val="00532CE4"/>
    <w:rsid w:val="00532E2D"/>
    <w:rsid w:val="00533DE9"/>
    <w:rsid w:val="00533FD9"/>
    <w:rsid w:val="00534E2B"/>
    <w:rsid w:val="005357A4"/>
    <w:rsid w:val="0053757B"/>
    <w:rsid w:val="005402EB"/>
    <w:rsid w:val="00540502"/>
    <w:rsid w:val="0054052B"/>
    <w:rsid w:val="00541D9C"/>
    <w:rsid w:val="005420F7"/>
    <w:rsid w:val="005425D5"/>
    <w:rsid w:val="00542741"/>
    <w:rsid w:val="005445F4"/>
    <w:rsid w:val="00545110"/>
    <w:rsid w:val="005454D7"/>
    <w:rsid w:val="00545956"/>
    <w:rsid w:val="00546B4B"/>
    <w:rsid w:val="00547596"/>
    <w:rsid w:val="00547932"/>
    <w:rsid w:val="00551060"/>
    <w:rsid w:val="005512DF"/>
    <w:rsid w:val="00555F50"/>
    <w:rsid w:val="005562AC"/>
    <w:rsid w:val="00556AE0"/>
    <w:rsid w:val="0056185C"/>
    <w:rsid w:val="00561934"/>
    <w:rsid w:val="005622BE"/>
    <w:rsid w:val="005630D4"/>
    <w:rsid w:val="005643B7"/>
    <w:rsid w:val="005645A1"/>
    <w:rsid w:val="00564C08"/>
    <w:rsid w:val="005653AA"/>
    <w:rsid w:val="0056619C"/>
    <w:rsid w:val="00566A11"/>
    <w:rsid w:val="005702C7"/>
    <w:rsid w:val="005704A2"/>
    <w:rsid w:val="00570CE8"/>
    <w:rsid w:val="00571262"/>
    <w:rsid w:val="00571B9F"/>
    <w:rsid w:val="00571F2C"/>
    <w:rsid w:val="00572E0A"/>
    <w:rsid w:val="00573829"/>
    <w:rsid w:val="0057387C"/>
    <w:rsid w:val="005746E8"/>
    <w:rsid w:val="00574FEA"/>
    <w:rsid w:val="00577E40"/>
    <w:rsid w:val="0058330D"/>
    <w:rsid w:val="00583E95"/>
    <w:rsid w:val="00584840"/>
    <w:rsid w:val="005857E6"/>
    <w:rsid w:val="0059192A"/>
    <w:rsid w:val="00592A70"/>
    <w:rsid w:val="0059662B"/>
    <w:rsid w:val="00596BA5"/>
    <w:rsid w:val="00597B44"/>
    <w:rsid w:val="005A245B"/>
    <w:rsid w:val="005A275C"/>
    <w:rsid w:val="005A4A74"/>
    <w:rsid w:val="005A4E2C"/>
    <w:rsid w:val="005A4FBF"/>
    <w:rsid w:val="005A6874"/>
    <w:rsid w:val="005A6F97"/>
    <w:rsid w:val="005B230A"/>
    <w:rsid w:val="005B2706"/>
    <w:rsid w:val="005B4F5A"/>
    <w:rsid w:val="005B62BA"/>
    <w:rsid w:val="005B6382"/>
    <w:rsid w:val="005B6674"/>
    <w:rsid w:val="005C1362"/>
    <w:rsid w:val="005C1A4C"/>
    <w:rsid w:val="005C2783"/>
    <w:rsid w:val="005C2C35"/>
    <w:rsid w:val="005C37B5"/>
    <w:rsid w:val="005C4CFD"/>
    <w:rsid w:val="005C5AE0"/>
    <w:rsid w:val="005C783F"/>
    <w:rsid w:val="005D0B2B"/>
    <w:rsid w:val="005D0BAD"/>
    <w:rsid w:val="005D0F4E"/>
    <w:rsid w:val="005D17F5"/>
    <w:rsid w:val="005D249B"/>
    <w:rsid w:val="005D4313"/>
    <w:rsid w:val="005D4676"/>
    <w:rsid w:val="005D53C9"/>
    <w:rsid w:val="005D57BA"/>
    <w:rsid w:val="005D5CC9"/>
    <w:rsid w:val="005D6036"/>
    <w:rsid w:val="005D66C5"/>
    <w:rsid w:val="005D7397"/>
    <w:rsid w:val="005D78A3"/>
    <w:rsid w:val="005E06A2"/>
    <w:rsid w:val="005E0DCB"/>
    <w:rsid w:val="005E1793"/>
    <w:rsid w:val="005E183F"/>
    <w:rsid w:val="005E1AC2"/>
    <w:rsid w:val="005E1D6B"/>
    <w:rsid w:val="005E1D84"/>
    <w:rsid w:val="005E3F10"/>
    <w:rsid w:val="005F13A4"/>
    <w:rsid w:val="005F13BE"/>
    <w:rsid w:val="005F276E"/>
    <w:rsid w:val="005F44F2"/>
    <w:rsid w:val="005F46F6"/>
    <w:rsid w:val="005F6B4D"/>
    <w:rsid w:val="005F7B01"/>
    <w:rsid w:val="006004BE"/>
    <w:rsid w:val="00600EE1"/>
    <w:rsid w:val="00602BF1"/>
    <w:rsid w:val="006030AA"/>
    <w:rsid w:val="00603B51"/>
    <w:rsid w:val="00605A0B"/>
    <w:rsid w:val="006072B4"/>
    <w:rsid w:val="006079ED"/>
    <w:rsid w:val="00607CAB"/>
    <w:rsid w:val="00611D60"/>
    <w:rsid w:val="00614726"/>
    <w:rsid w:val="00615225"/>
    <w:rsid w:val="006160B8"/>
    <w:rsid w:val="006162A9"/>
    <w:rsid w:val="006167BE"/>
    <w:rsid w:val="00616AD6"/>
    <w:rsid w:val="00621325"/>
    <w:rsid w:val="00621965"/>
    <w:rsid w:val="006304EC"/>
    <w:rsid w:val="006318A1"/>
    <w:rsid w:val="006336D2"/>
    <w:rsid w:val="00633D0D"/>
    <w:rsid w:val="00634488"/>
    <w:rsid w:val="00634687"/>
    <w:rsid w:val="00635ACD"/>
    <w:rsid w:val="00635BB1"/>
    <w:rsid w:val="006375D3"/>
    <w:rsid w:val="00641A58"/>
    <w:rsid w:val="006423F2"/>
    <w:rsid w:val="00643634"/>
    <w:rsid w:val="00643A74"/>
    <w:rsid w:val="006452B1"/>
    <w:rsid w:val="00650910"/>
    <w:rsid w:val="00651F70"/>
    <w:rsid w:val="00653586"/>
    <w:rsid w:val="00654844"/>
    <w:rsid w:val="00654C53"/>
    <w:rsid w:val="0065518E"/>
    <w:rsid w:val="00656096"/>
    <w:rsid w:val="0065621F"/>
    <w:rsid w:val="00656F19"/>
    <w:rsid w:val="00657BC4"/>
    <w:rsid w:val="006600A5"/>
    <w:rsid w:val="006612D0"/>
    <w:rsid w:val="00661E45"/>
    <w:rsid w:val="00661FDC"/>
    <w:rsid w:val="006625E2"/>
    <w:rsid w:val="00662708"/>
    <w:rsid w:val="00662872"/>
    <w:rsid w:val="00662D05"/>
    <w:rsid w:val="00664872"/>
    <w:rsid w:val="0066598D"/>
    <w:rsid w:val="00665E73"/>
    <w:rsid w:val="00665FA8"/>
    <w:rsid w:val="00666A86"/>
    <w:rsid w:val="0067060E"/>
    <w:rsid w:val="0067088C"/>
    <w:rsid w:val="0067145E"/>
    <w:rsid w:val="00672544"/>
    <w:rsid w:val="00672E5B"/>
    <w:rsid w:val="00673971"/>
    <w:rsid w:val="0067433F"/>
    <w:rsid w:val="0067570E"/>
    <w:rsid w:val="0067593B"/>
    <w:rsid w:val="0068018F"/>
    <w:rsid w:val="00683CF0"/>
    <w:rsid w:val="00685591"/>
    <w:rsid w:val="00687107"/>
    <w:rsid w:val="006902E0"/>
    <w:rsid w:val="006906FB"/>
    <w:rsid w:val="00690E9D"/>
    <w:rsid w:val="006928A8"/>
    <w:rsid w:val="00692D9D"/>
    <w:rsid w:val="006933D7"/>
    <w:rsid w:val="006952DD"/>
    <w:rsid w:val="006959EE"/>
    <w:rsid w:val="0069628E"/>
    <w:rsid w:val="006A158A"/>
    <w:rsid w:val="006A46DF"/>
    <w:rsid w:val="006A4866"/>
    <w:rsid w:val="006A54E9"/>
    <w:rsid w:val="006A5ADE"/>
    <w:rsid w:val="006A7EC4"/>
    <w:rsid w:val="006B03DA"/>
    <w:rsid w:val="006B08CA"/>
    <w:rsid w:val="006B099C"/>
    <w:rsid w:val="006B1B46"/>
    <w:rsid w:val="006B1F78"/>
    <w:rsid w:val="006B2DE3"/>
    <w:rsid w:val="006B33CE"/>
    <w:rsid w:val="006B45E1"/>
    <w:rsid w:val="006B5630"/>
    <w:rsid w:val="006B5727"/>
    <w:rsid w:val="006B6015"/>
    <w:rsid w:val="006B69A6"/>
    <w:rsid w:val="006B74E4"/>
    <w:rsid w:val="006B7697"/>
    <w:rsid w:val="006C00C6"/>
    <w:rsid w:val="006C0505"/>
    <w:rsid w:val="006C3AEA"/>
    <w:rsid w:val="006C4048"/>
    <w:rsid w:val="006D03A5"/>
    <w:rsid w:val="006D18E1"/>
    <w:rsid w:val="006D233C"/>
    <w:rsid w:val="006D5862"/>
    <w:rsid w:val="006D735F"/>
    <w:rsid w:val="006D782E"/>
    <w:rsid w:val="006E0522"/>
    <w:rsid w:val="006E1587"/>
    <w:rsid w:val="006E1E07"/>
    <w:rsid w:val="006E2969"/>
    <w:rsid w:val="006E2AA9"/>
    <w:rsid w:val="006E54D5"/>
    <w:rsid w:val="006E7EC7"/>
    <w:rsid w:val="006F06DA"/>
    <w:rsid w:val="006F0798"/>
    <w:rsid w:val="006F1687"/>
    <w:rsid w:val="006F285C"/>
    <w:rsid w:val="006F35B0"/>
    <w:rsid w:val="006F450F"/>
    <w:rsid w:val="006F4DC5"/>
    <w:rsid w:val="00701105"/>
    <w:rsid w:val="0070112C"/>
    <w:rsid w:val="00701FBE"/>
    <w:rsid w:val="00702D25"/>
    <w:rsid w:val="00703023"/>
    <w:rsid w:val="007030FD"/>
    <w:rsid w:val="0070445A"/>
    <w:rsid w:val="00705FA2"/>
    <w:rsid w:val="007060A0"/>
    <w:rsid w:val="007107AD"/>
    <w:rsid w:val="007125A0"/>
    <w:rsid w:val="00713394"/>
    <w:rsid w:val="007135BB"/>
    <w:rsid w:val="00715F66"/>
    <w:rsid w:val="00716E6C"/>
    <w:rsid w:val="00720B0E"/>
    <w:rsid w:val="00721265"/>
    <w:rsid w:val="00721E5D"/>
    <w:rsid w:val="00723271"/>
    <w:rsid w:val="007246E1"/>
    <w:rsid w:val="007263B8"/>
    <w:rsid w:val="0072659D"/>
    <w:rsid w:val="00726D7E"/>
    <w:rsid w:val="0073058B"/>
    <w:rsid w:val="007307DB"/>
    <w:rsid w:val="007319EB"/>
    <w:rsid w:val="00731FE0"/>
    <w:rsid w:val="007321B1"/>
    <w:rsid w:val="007322A3"/>
    <w:rsid w:val="007331EB"/>
    <w:rsid w:val="00733373"/>
    <w:rsid w:val="0073609B"/>
    <w:rsid w:val="007360B4"/>
    <w:rsid w:val="007366DF"/>
    <w:rsid w:val="00736BF7"/>
    <w:rsid w:val="00737B6C"/>
    <w:rsid w:val="00740234"/>
    <w:rsid w:val="00740D10"/>
    <w:rsid w:val="00741D4C"/>
    <w:rsid w:val="00743595"/>
    <w:rsid w:val="007448EE"/>
    <w:rsid w:val="00746102"/>
    <w:rsid w:val="007464F8"/>
    <w:rsid w:val="0074696D"/>
    <w:rsid w:val="00746B12"/>
    <w:rsid w:val="00747434"/>
    <w:rsid w:val="007478F9"/>
    <w:rsid w:val="007503F8"/>
    <w:rsid w:val="00753310"/>
    <w:rsid w:val="00753AB9"/>
    <w:rsid w:val="00754582"/>
    <w:rsid w:val="007545AD"/>
    <w:rsid w:val="0075465F"/>
    <w:rsid w:val="00754B50"/>
    <w:rsid w:val="007553E5"/>
    <w:rsid w:val="007558C3"/>
    <w:rsid w:val="00756B73"/>
    <w:rsid w:val="007600AE"/>
    <w:rsid w:val="00760622"/>
    <w:rsid w:val="0076077D"/>
    <w:rsid w:val="00760FD0"/>
    <w:rsid w:val="00761EBC"/>
    <w:rsid w:val="007634F0"/>
    <w:rsid w:val="00763F73"/>
    <w:rsid w:val="007649D5"/>
    <w:rsid w:val="00766A82"/>
    <w:rsid w:val="00770ADF"/>
    <w:rsid w:val="00772CC5"/>
    <w:rsid w:val="00772F58"/>
    <w:rsid w:val="00772F6D"/>
    <w:rsid w:val="00773907"/>
    <w:rsid w:val="0077599F"/>
    <w:rsid w:val="00777275"/>
    <w:rsid w:val="00781C2B"/>
    <w:rsid w:val="00782076"/>
    <w:rsid w:val="007858AF"/>
    <w:rsid w:val="007859B3"/>
    <w:rsid w:val="00786BC7"/>
    <w:rsid w:val="00786E31"/>
    <w:rsid w:val="00787264"/>
    <w:rsid w:val="007918D1"/>
    <w:rsid w:val="00791CB7"/>
    <w:rsid w:val="0079282D"/>
    <w:rsid w:val="007935C3"/>
    <w:rsid w:val="0079432A"/>
    <w:rsid w:val="00795EA9"/>
    <w:rsid w:val="00797288"/>
    <w:rsid w:val="00797F61"/>
    <w:rsid w:val="007A2609"/>
    <w:rsid w:val="007A31A5"/>
    <w:rsid w:val="007A3D71"/>
    <w:rsid w:val="007A54D7"/>
    <w:rsid w:val="007A5F84"/>
    <w:rsid w:val="007A7E81"/>
    <w:rsid w:val="007A7FCA"/>
    <w:rsid w:val="007B1852"/>
    <w:rsid w:val="007B30B8"/>
    <w:rsid w:val="007B334A"/>
    <w:rsid w:val="007B68C6"/>
    <w:rsid w:val="007B70F5"/>
    <w:rsid w:val="007B7E8F"/>
    <w:rsid w:val="007C04C5"/>
    <w:rsid w:val="007C0D40"/>
    <w:rsid w:val="007C1904"/>
    <w:rsid w:val="007C1CA8"/>
    <w:rsid w:val="007C1F48"/>
    <w:rsid w:val="007C214E"/>
    <w:rsid w:val="007C310B"/>
    <w:rsid w:val="007C32CE"/>
    <w:rsid w:val="007C465B"/>
    <w:rsid w:val="007C4FDB"/>
    <w:rsid w:val="007C64E1"/>
    <w:rsid w:val="007D1099"/>
    <w:rsid w:val="007D1C50"/>
    <w:rsid w:val="007D1FE9"/>
    <w:rsid w:val="007D536C"/>
    <w:rsid w:val="007D6539"/>
    <w:rsid w:val="007D7157"/>
    <w:rsid w:val="007D7312"/>
    <w:rsid w:val="007D7F33"/>
    <w:rsid w:val="007E1EC0"/>
    <w:rsid w:val="007E280F"/>
    <w:rsid w:val="007E29D5"/>
    <w:rsid w:val="007E6170"/>
    <w:rsid w:val="007E6823"/>
    <w:rsid w:val="007E7F36"/>
    <w:rsid w:val="007F055C"/>
    <w:rsid w:val="007F0663"/>
    <w:rsid w:val="007F1CBB"/>
    <w:rsid w:val="007F4093"/>
    <w:rsid w:val="007F641C"/>
    <w:rsid w:val="007F644A"/>
    <w:rsid w:val="007F68F9"/>
    <w:rsid w:val="00800A79"/>
    <w:rsid w:val="00801293"/>
    <w:rsid w:val="0080210A"/>
    <w:rsid w:val="00802536"/>
    <w:rsid w:val="008029C4"/>
    <w:rsid w:val="0080360E"/>
    <w:rsid w:val="00803959"/>
    <w:rsid w:val="00803970"/>
    <w:rsid w:val="00807193"/>
    <w:rsid w:val="00807262"/>
    <w:rsid w:val="0081046F"/>
    <w:rsid w:val="0081073E"/>
    <w:rsid w:val="0081297A"/>
    <w:rsid w:val="00814A3A"/>
    <w:rsid w:val="00815464"/>
    <w:rsid w:val="00817638"/>
    <w:rsid w:val="00817F03"/>
    <w:rsid w:val="008202C6"/>
    <w:rsid w:val="00820436"/>
    <w:rsid w:val="0082061F"/>
    <w:rsid w:val="00820C20"/>
    <w:rsid w:val="008214B9"/>
    <w:rsid w:val="00822040"/>
    <w:rsid w:val="00822B4B"/>
    <w:rsid w:val="00824232"/>
    <w:rsid w:val="00824420"/>
    <w:rsid w:val="00825580"/>
    <w:rsid w:val="00825EC4"/>
    <w:rsid w:val="00825F4D"/>
    <w:rsid w:val="0083049D"/>
    <w:rsid w:val="00832434"/>
    <w:rsid w:val="00834A00"/>
    <w:rsid w:val="00834C09"/>
    <w:rsid w:val="00834DA0"/>
    <w:rsid w:val="0083580C"/>
    <w:rsid w:val="0083585F"/>
    <w:rsid w:val="0083599D"/>
    <w:rsid w:val="00836C72"/>
    <w:rsid w:val="00837660"/>
    <w:rsid w:val="00840690"/>
    <w:rsid w:val="00842057"/>
    <w:rsid w:val="0084283C"/>
    <w:rsid w:val="00844193"/>
    <w:rsid w:val="00845D53"/>
    <w:rsid w:val="00846800"/>
    <w:rsid w:val="008520FF"/>
    <w:rsid w:val="008529C4"/>
    <w:rsid w:val="00854A10"/>
    <w:rsid w:val="00855F60"/>
    <w:rsid w:val="008560C9"/>
    <w:rsid w:val="008575F9"/>
    <w:rsid w:val="008642CF"/>
    <w:rsid w:val="008646D9"/>
    <w:rsid w:val="008667EA"/>
    <w:rsid w:val="008677B1"/>
    <w:rsid w:val="00870311"/>
    <w:rsid w:val="008703B2"/>
    <w:rsid w:val="00870F1A"/>
    <w:rsid w:val="00873592"/>
    <w:rsid w:val="00874E33"/>
    <w:rsid w:val="00875167"/>
    <w:rsid w:val="0087542F"/>
    <w:rsid w:val="00875C2A"/>
    <w:rsid w:val="00876FCE"/>
    <w:rsid w:val="00880DB0"/>
    <w:rsid w:val="008812C9"/>
    <w:rsid w:val="00881EC7"/>
    <w:rsid w:val="00882717"/>
    <w:rsid w:val="00883A5B"/>
    <w:rsid w:val="008844CC"/>
    <w:rsid w:val="00884D5C"/>
    <w:rsid w:val="008853B4"/>
    <w:rsid w:val="00885659"/>
    <w:rsid w:val="008863B0"/>
    <w:rsid w:val="00886767"/>
    <w:rsid w:val="008868B5"/>
    <w:rsid w:val="00886F0A"/>
    <w:rsid w:val="0088727C"/>
    <w:rsid w:val="008875E0"/>
    <w:rsid w:val="008903A3"/>
    <w:rsid w:val="00891056"/>
    <w:rsid w:val="008927B4"/>
    <w:rsid w:val="00892829"/>
    <w:rsid w:val="00892885"/>
    <w:rsid w:val="00892D8E"/>
    <w:rsid w:val="008940DE"/>
    <w:rsid w:val="008955F2"/>
    <w:rsid w:val="00895FFB"/>
    <w:rsid w:val="00897377"/>
    <w:rsid w:val="008974C2"/>
    <w:rsid w:val="00897B12"/>
    <w:rsid w:val="008A2316"/>
    <w:rsid w:val="008A27EC"/>
    <w:rsid w:val="008A2AC5"/>
    <w:rsid w:val="008A3311"/>
    <w:rsid w:val="008A369F"/>
    <w:rsid w:val="008A4E5C"/>
    <w:rsid w:val="008B0633"/>
    <w:rsid w:val="008B1A1A"/>
    <w:rsid w:val="008B775C"/>
    <w:rsid w:val="008C181A"/>
    <w:rsid w:val="008C4180"/>
    <w:rsid w:val="008C444D"/>
    <w:rsid w:val="008C5608"/>
    <w:rsid w:val="008C58CC"/>
    <w:rsid w:val="008C6161"/>
    <w:rsid w:val="008C620F"/>
    <w:rsid w:val="008D0E53"/>
    <w:rsid w:val="008D2CEC"/>
    <w:rsid w:val="008D440A"/>
    <w:rsid w:val="008D46D4"/>
    <w:rsid w:val="008D5B66"/>
    <w:rsid w:val="008D7466"/>
    <w:rsid w:val="008E09F8"/>
    <w:rsid w:val="008E1B7F"/>
    <w:rsid w:val="008E1CC1"/>
    <w:rsid w:val="008E24E4"/>
    <w:rsid w:val="008E29FF"/>
    <w:rsid w:val="008E2A77"/>
    <w:rsid w:val="008E3458"/>
    <w:rsid w:val="008E3F2E"/>
    <w:rsid w:val="008E5BF1"/>
    <w:rsid w:val="008E6610"/>
    <w:rsid w:val="008E6C8B"/>
    <w:rsid w:val="008E7A59"/>
    <w:rsid w:val="008F22B4"/>
    <w:rsid w:val="008F2827"/>
    <w:rsid w:val="008F2D9E"/>
    <w:rsid w:val="008F33C8"/>
    <w:rsid w:val="008F41D6"/>
    <w:rsid w:val="008F4617"/>
    <w:rsid w:val="008F5ADB"/>
    <w:rsid w:val="008F705F"/>
    <w:rsid w:val="00900451"/>
    <w:rsid w:val="00901757"/>
    <w:rsid w:val="00901E3A"/>
    <w:rsid w:val="00904D70"/>
    <w:rsid w:val="009060BE"/>
    <w:rsid w:val="009065C2"/>
    <w:rsid w:val="00911430"/>
    <w:rsid w:val="00914836"/>
    <w:rsid w:val="0091594C"/>
    <w:rsid w:val="009160B6"/>
    <w:rsid w:val="00917FB1"/>
    <w:rsid w:val="00922B2F"/>
    <w:rsid w:val="0092336E"/>
    <w:rsid w:val="00923B51"/>
    <w:rsid w:val="00924410"/>
    <w:rsid w:val="00925BDF"/>
    <w:rsid w:val="00925DF9"/>
    <w:rsid w:val="00926F3D"/>
    <w:rsid w:val="00930AED"/>
    <w:rsid w:val="00931E99"/>
    <w:rsid w:val="00932AD0"/>
    <w:rsid w:val="009339C3"/>
    <w:rsid w:val="00934369"/>
    <w:rsid w:val="009359CB"/>
    <w:rsid w:val="00937262"/>
    <w:rsid w:val="00937720"/>
    <w:rsid w:val="00937838"/>
    <w:rsid w:val="009416D8"/>
    <w:rsid w:val="00942C4C"/>
    <w:rsid w:val="00943072"/>
    <w:rsid w:val="00945195"/>
    <w:rsid w:val="009461DB"/>
    <w:rsid w:val="00946835"/>
    <w:rsid w:val="009500B2"/>
    <w:rsid w:val="009505E7"/>
    <w:rsid w:val="0095145D"/>
    <w:rsid w:val="0095161C"/>
    <w:rsid w:val="00951BC4"/>
    <w:rsid w:val="00951F70"/>
    <w:rsid w:val="009520D1"/>
    <w:rsid w:val="0095235D"/>
    <w:rsid w:val="00953C9B"/>
    <w:rsid w:val="00954583"/>
    <w:rsid w:val="009562C3"/>
    <w:rsid w:val="009573FB"/>
    <w:rsid w:val="00957F3F"/>
    <w:rsid w:val="00961356"/>
    <w:rsid w:val="00963321"/>
    <w:rsid w:val="0096441E"/>
    <w:rsid w:val="00965D9E"/>
    <w:rsid w:val="009660E4"/>
    <w:rsid w:val="00967E3A"/>
    <w:rsid w:val="0097163D"/>
    <w:rsid w:val="00971F1E"/>
    <w:rsid w:val="00972370"/>
    <w:rsid w:val="00972380"/>
    <w:rsid w:val="00972778"/>
    <w:rsid w:val="00972CDD"/>
    <w:rsid w:val="00973F4E"/>
    <w:rsid w:val="00974E9C"/>
    <w:rsid w:val="00975A4F"/>
    <w:rsid w:val="00976B30"/>
    <w:rsid w:val="00977851"/>
    <w:rsid w:val="00982224"/>
    <w:rsid w:val="00982316"/>
    <w:rsid w:val="009828D8"/>
    <w:rsid w:val="00982A72"/>
    <w:rsid w:val="00982C77"/>
    <w:rsid w:val="00983282"/>
    <w:rsid w:val="00987986"/>
    <w:rsid w:val="00987F57"/>
    <w:rsid w:val="00990FA3"/>
    <w:rsid w:val="00992A0E"/>
    <w:rsid w:val="009937BA"/>
    <w:rsid w:val="009968D1"/>
    <w:rsid w:val="00997A86"/>
    <w:rsid w:val="00997CB4"/>
    <w:rsid w:val="009A125C"/>
    <w:rsid w:val="009A17D8"/>
    <w:rsid w:val="009A18F6"/>
    <w:rsid w:val="009A18F9"/>
    <w:rsid w:val="009A1D29"/>
    <w:rsid w:val="009A2DA9"/>
    <w:rsid w:val="009A4839"/>
    <w:rsid w:val="009A5230"/>
    <w:rsid w:val="009A763F"/>
    <w:rsid w:val="009B032E"/>
    <w:rsid w:val="009B307F"/>
    <w:rsid w:val="009B3C69"/>
    <w:rsid w:val="009B57E2"/>
    <w:rsid w:val="009B591D"/>
    <w:rsid w:val="009C0494"/>
    <w:rsid w:val="009C200C"/>
    <w:rsid w:val="009C21B1"/>
    <w:rsid w:val="009C21C6"/>
    <w:rsid w:val="009C2F38"/>
    <w:rsid w:val="009C30BB"/>
    <w:rsid w:val="009C44DA"/>
    <w:rsid w:val="009C4E55"/>
    <w:rsid w:val="009C61C8"/>
    <w:rsid w:val="009C6B46"/>
    <w:rsid w:val="009C7654"/>
    <w:rsid w:val="009C7884"/>
    <w:rsid w:val="009D3844"/>
    <w:rsid w:val="009D4BF3"/>
    <w:rsid w:val="009D5C42"/>
    <w:rsid w:val="009D5CA7"/>
    <w:rsid w:val="009E2793"/>
    <w:rsid w:val="009E2D45"/>
    <w:rsid w:val="009E3144"/>
    <w:rsid w:val="009E4009"/>
    <w:rsid w:val="009E40FD"/>
    <w:rsid w:val="009E4953"/>
    <w:rsid w:val="009F02D3"/>
    <w:rsid w:val="009F3B25"/>
    <w:rsid w:val="009F4B42"/>
    <w:rsid w:val="009F6482"/>
    <w:rsid w:val="009F6B91"/>
    <w:rsid w:val="009F7111"/>
    <w:rsid w:val="00A008A8"/>
    <w:rsid w:val="00A00C07"/>
    <w:rsid w:val="00A0107F"/>
    <w:rsid w:val="00A02A6A"/>
    <w:rsid w:val="00A02E6D"/>
    <w:rsid w:val="00A02E7E"/>
    <w:rsid w:val="00A04018"/>
    <w:rsid w:val="00A05AB7"/>
    <w:rsid w:val="00A05E6E"/>
    <w:rsid w:val="00A06029"/>
    <w:rsid w:val="00A0603F"/>
    <w:rsid w:val="00A06980"/>
    <w:rsid w:val="00A10AAD"/>
    <w:rsid w:val="00A10E7F"/>
    <w:rsid w:val="00A1173F"/>
    <w:rsid w:val="00A13409"/>
    <w:rsid w:val="00A141B0"/>
    <w:rsid w:val="00A14443"/>
    <w:rsid w:val="00A15E2E"/>
    <w:rsid w:val="00A165A0"/>
    <w:rsid w:val="00A17961"/>
    <w:rsid w:val="00A2187A"/>
    <w:rsid w:val="00A237D6"/>
    <w:rsid w:val="00A23E3E"/>
    <w:rsid w:val="00A256E1"/>
    <w:rsid w:val="00A30434"/>
    <w:rsid w:val="00A307E2"/>
    <w:rsid w:val="00A30C39"/>
    <w:rsid w:val="00A31F39"/>
    <w:rsid w:val="00A338E5"/>
    <w:rsid w:val="00A36C99"/>
    <w:rsid w:val="00A41123"/>
    <w:rsid w:val="00A4373F"/>
    <w:rsid w:val="00A43C4D"/>
    <w:rsid w:val="00A44624"/>
    <w:rsid w:val="00A45245"/>
    <w:rsid w:val="00A46E6E"/>
    <w:rsid w:val="00A474A3"/>
    <w:rsid w:val="00A508EC"/>
    <w:rsid w:val="00A525F0"/>
    <w:rsid w:val="00A532B0"/>
    <w:rsid w:val="00A538EE"/>
    <w:rsid w:val="00A53D94"/>
    <w:rsid w:val="00A55C4A"/>
    <w:rsid w:val="00A56ED1"/>
    <w:rsid w:val="00A61DAC"/>
    <w:rsid w:val="00A62349"/>
    <w:rsid w:val="00A63FA7"/>
    <w:rsid w:val="00A66796"/>
    <w:rsid w:val="00A66954"/>
    <w:rsid w:val="00A70066"/>
    <w:rsid w:val="00A707CD"/>
    <w:rsid w:val="00A7231D"/>
    <w:rsid w:val="00A7266A"/>
    <w:rsid w:val="00A73E1E"/>
    <w:rsid w:val="00A7587E"/>
    <w:rsid w:val="00A75B64"/>
    <w:rsid w:val="00A75CF7"/>
    <w:rsid w:val="00A76112"/>
    <w:rsid w:val="00A76C83"/>
    <w:rsid w:val="00A777B7"/>
    <w:rsid w:val="00A777E3"/>
    <w:rsid w:val="00A77B46"/>
    <w:rsid w:val="00A77E7C"/>
    <w:rsid w:val="00A8353A"/>
    <w:rsid w:val="00A848E9"/>
    <w:rsid w:val="00A906F3"/>
    <w:rsid w:val="00A91FBA"/>
    <w:rsid w:val="00A9213C"/>
    <w:rsid w:val="00A92B7C"/>
    <w:rsid w:val="00A94ED4"/>
    <w:rsid w:val="00AA2BFA"/>
    <w:rsid w:val="00AA414F"/>
    <w:rsid w:val="00AA44B5"/>
    <w:rsid w:val="00AA5DFC"/>
    <w:rsid w:val="00AA66C0"/>
    <w:rsid w:val="00AB0C9A"/>
    <w:rsid w:val="00AB21D8"/>
    <w:rsid w:val="00AB230C"/>
    <w:rsid w:val="00AB4417"/>
    <w:rsid w:val="00AB5A6D"/>
    <w:rsid w:val="00AB7217"/>
    <w:rsid w:val="00AC02C4"/>
    <w:rsid w:val="00AC2060"/>
    <w:rsid w:val="00AC40F6"/>
    <w:rsid w:val="00AC69AE"/>
    <w:rsid w:val="00AC6B1A"/>
    <w:rsid w:val="00AC7977"/>
    <w:rsid w:val="00AC7A62"/>
    <w:rsid w:val="00AD2119"/>
    <w:rsid w:val="00AD2523"/>
    <w:rsid w:val="00AD2AAB"/>
    <w:rsid w:val="00AD4005"/>
    <w:rsid w:val="00AD5A27"/>
    <w:rsid w:val="00AD64E3"/>
    <w:rsid w:val="00AE0BBB"/>
    <w:rsid w:val="00AE286A"/>
    <w:rsid w:val="00AE45E0"/>
    <w:rsid w:val="00AE5F26"/>
    <w:rsid w:val="00AE6FE5"/>
    <w:rsid w:val="00AE784B"/>
    <w:rsid w:val="00AF10E0"/>
    <w:rsid w:val="00AF331D"/>
    <w:rsid w:val="00AF3490"/>
    <w:rsid w:val="00AF43AC"/>
    <w:rsid w:val="00AF4F18"/>
    <w:rsid w:val="00AF63B2"/>
    <w:rsid w:val="00AF78F0"/>
    <w:rsid w:val="00B01B85"/>
    <w:rsid w:val="00B01C24"/>
    <w:rsid w:val="00B02FB5"/>
    <w:rsid w:val="00B04824"/>
    <w:rsid w:val="00B05E10"/>
    <w:rsid w:val="00B0608F"/>
    <w:rsid w:val="00B06CEF"/>
    <w:rsid w:val="00B105FD"/>
    <w:rsid w:val="00B10A6C"/>
    <w:rsid w:val="00B11641"/>
    <w:rsid w:val="00B117FE"/>
    <w:rsid w:val="00B11B0D"/>
    <w:rsid w:val="00B13E6F"/>
    <w:rsid w:val="00B14D4D"/>
    <w:rsid w:val="00B20AF5"/>
    <w:rsid w:val="00B2174E"/>
    <w:rsid w:val="00B217BB"/>
    <w:rsid w:val="00B227DD"/>
    <w:rsid w:val="00B2352C"/>
    <w:rsid w:val="00B2433B"/>
    <w:rsid w:val="00B24685"/>
    <w:rsid w:val="00B26DF3"/>
    <w:rsid w:val="00B3023D"/>
    <w:rsid w:val="00B30ABD"/>
    <w:rsid w:val="00B30B93"/>
    <w:rsid w:val="00B30FE8"/>
    <w:rsid w:val="00B3123B"/>
    <w:rsid w:val="00B3140C"/>
    <w:rsid w:val="00B346CC"/>
    <w:rsid w:val="00B360AB"/>
    <w:rsid w:val="00B36752"/>
    <w:rsid w:val="00B407D2"/>
    <w:rsid w:val="00B40FE6"/>
    <w:rsid w:val="00B41481"/>
    <w:rsid w:val="00B44EE7"/>
    <w:rsid w:val="00B458CE"/>
    <w:rsid w:val="00B5069B"/>
    <w:rsid w:val="00B50987"/>
    <w:rsid w:val="00B50BC5"/>
    <w:rsid w:val="00B51AAE"/>
    <w:rsid w:val="00B53370"/>
    <w:rsid w:val="00B535DA"/>
    <w:rsid w:val="00B535F8"/>
    <w:rsid w:val="00B53D10"/>
    <w:rsid w:val="00B55831"/>
    <w:rsid w:val="00B56C7D"/>
    <w:rsid w:val="00B6044B"/>
    <w:rsid w:val="00B613FF"/>
    <w:rsid w:val="00B62C56"/>
    <w:rsid w:val="00B62EFC"/>
    <w:rsid w:val="00B62F42"/>
    <w:rsid w:val="00B635C7"/>
    <w:rsid w:val="00B63D24"/>
    <w:rsid w:val="00B67EB6"/>
    <w:rsid w:val="00B703E9"/>
    <w:rsid w:val="00B72CEC"/>
    <w:rsid w:val="00B72ECE"/>
    <w:rsid w:val="00B73B0F"/>
    <w:rsid w:val="00B756CB"/>
    <w:rsid w:val="00B77C40"/>
    <w:rsid w:val="00B80590"/>
    <w:rsid w:val="00B82A99"/>
    <w:rsid w:val="00B82B26"/>
    <w:rsid w:val="00B82C0D"/>
    <w:rsid w:val="00B83C4E"/>
    <w:rsid w:val="00B867C0"/>
    <w:rsid w:val="00B8733E"/>
    <w:rsid w:val="00B87CC7"/>
    <w:rsid w:val="00B90BA4"/>
    <w:rsid w:val="00B90EB2"/>
    <w:rsid w:val="00B9168C"/>
    <w:rsid w:val="00B91D07"/>
    <w:rsid w:val="00B92180"/>
    <w:rsid w:val="00B925EE"/>
    <w:rsid w:val="00B9279D"/>
    <w:rsid w:val="00B9503B"/>
    <w:rsid w:val="00B95864"/>
    <w:rsid w:val="00B97267"/>
    <w:rsid w:val="00B9745F"/>
    <w:rsid w:val="00B97502"/>
    <w:rsid w:val="00BA0DF9"/>
    <w:rsid w:val="00BA13C2"/>
    <w:rsid w:val="00BA3F80"/>
    <w:rsid w:val="00BA460C"/>
    <w:rsid w:val="00BA4E4D"/>
    <w:rsid w:val="00BA6A72"/>
    <w:rsid w:val="00BB0B33"/>
    <w:rsid w:val="00BB120E"/>
    <w:rsid w:val="00BB2AB7"/>
    <w:rsid w:val="00BB308A"/>
    <w:rsid w:val="00BB42A7"/>
    <w:rsid w:val="00BB48D6"/>
    <w:rsid w:val="00BB51D7"/>
    <w:rsid w:val="00BB69CA"/>
    <w:rsid w:val="00BB7C64"/>
    <w:rsid w:val="00BC1029"/>
    <w:rsid w:val="00BC1183"/>
    <w:rsid w:val="00BC336E"/>
    <w:rsid w:val="00BC423D"/>
    <w:rsid w:val="00BC4693"/>
    <w:rsid w:val="00BC5C58"/>
    <w:rsid w:val="00BC5D25"/>
    <w:rsid w:val="00BC6B5D"/>
    <w:rsid w:val="00BD127C"/>
    <w:rsid w:val="00BD1926"/>
    <w:rsid w:val="00BD28F6"/>
    <w:rsid w:val="00BD29B2"/>
    <w:rsid w:val="00BD35D5"/>
    <w:rsid w:val="00BD3C4F"/>
    <w:rsid w:val="00BD417B"/>
    <w:rsid w:val="00BD427F"/>
    <w:rsid w:val="00BD5B88"/>
    <w:rsid w:val="00BD5D87"/>
    <w:rsid w:val="00BD7604"/>
    <w:rsid w:val="00BD7B75"/>
    <w:rsid w:val="00BE1017"/>
    <w:rsid w:val="00BE1845"/>
    <w:rsid w:val="00BE1CED"/>
    <w:rsid w:val="00BE20F2"/>
    <w:rsid w:val="00BE30C9"/>
    <w:rsid w:val="00BE318D"/>
    <w:rsid w:val="00BE368F"/>
    <w:rsid w:val="00BE40E1"/>
    <w:rsid w:val="00BE6D2B"/>
    <w:rsid w:val="00BF07AD"/>
    <w:rsid w:val="00BF282A"/>
    <w:rsid w:val="00BF5038"/>
    <w:rsid w:val="00C00B3E"/>
    <w:rsid w:val="00C01685"/>
    <w:rsid w:val="00C02F2F"/>
    <w:rsid w:val="00C034CC"/>
    <w:rsid w:val="00C04257"/>
    <w:rsid w:val="00C04A37"/>
    <w:rsid w:val="00C04D5D"/>
    <w:rsid w:val="00C05C91"/>
    <w:rsid w:val="00C05CE7"/>
    <w:rsid w:val="00C06301"/>
    <w:rsid w:val="00C06997"/>
    <w:rsid w:val="00C06B90"/>
    <w:rsid w:val="00C13198"/>
    <w:rsid w:val="00C1351E"/>
    <w:rsid w:val="00C136FE"/>
    <w:rsid w:val="00C1545F"/>
    <w:rsid w:val="00C15E06"/>
    <w:rsid w:val="00C16453"/>
    <w:rsid w:val="00C16B29"/>
    <w:rsid w:val="00C16C31"/>
    <w:rsid w:val="00C20166"/>
    <w:rsid w:val="00C23DC2"/>
    <w:rsid w:val="00C24699"/>
    <w:rsid w:val="00C26FE8"/>
    <w:rsid w:val="00C2775F"/>
    <w:rsid w:val="00C30055"/>
    <w:rsid w:val="00C30972"/>
    <w:rsid w:val="00C309D3"/>
    <w:rsid w:val="00C30AC2"/>
    <w:rsid w:val="00C31D43"/>
    <w:rsid w:val="00C326D8"/>
    <w:rsid w:val="00C32845"/>
    <w:rsid w:val="00C32FCD"/>
    <w:rsid w:val="00C33CBA"/>
    <w:rsid w:val="00C33D1B"/>
    <w:rsid w:val="00C34666"/>
    <w:rsid w:val="00C35E30"/>
    <w:rsid w:val="00C376DB"/>
    <w:rsid w:val="00C4177B"/>
    <w:rsid w:val="00C4384F"/>
    <w:rsid w:val="00C4471A"/>
    <w:rsid w:val="00C4497F"/>
    <w:rsid w:val="00C45BD0"/>
    <w:rsid w:val="00C46392"/>
    <w:rsid w:val="00C468A8"/>
    <w:rsid w:val="00C50472"/>
    <w:rsid w:val="00C505F0"/>
    <w:rsid w:val="00C5097A"/>
    <w:rsid w:val="00C51AE5"/>
    <w:rsid w:val="00C5233E"/>
    <w:rsid w:val="00C52A01"/>
    <w:rsid w:val="00C537CF"/>
    <w:rsid w:val="00C53812"/>
    <w:rsid w:val="00C53DE1"/>
    <w:rsid w:val="00C5618D"/>
    <w:rsid w:val="00C5648F"/>
    <w:rsid w:val="00C56A82"/>
    <w:rsid w:val="00C61300"/>
    <w:rsid w:val="00C61BA0"/>
    <w:rsid w:val="00C63C62"/>
    <w:rsid w:val="00C64900"/>
    <w:rsid w:val="00C64BFA"/>
    <w:rsid w:val="00C650C6"/>
    <w:rsid w:val="00C65412"/>
    <w:rsid w:val="00C65A93"/>
    <w:rsid w:val="00C6642C"/>
    <w:rsid w:val="00C700AA"/>
    <w:rsid w:val="00C70102"/>
    <w:rsid w:val="00C70360"/>
    <w:rsid w:val="00C70460"/>
    <w:rsid w:val="00C71ED3"/>
    <w:rsid w:val="00C720E3"/>
    <w:rsid w:val="00C7279D"/>
    <w:rsid w:val="00C730A0"/>
    <w:rsid w:val="00C74C5E"/>
    <w:rsid w:val="00C75A75"/>
    <w:rsid w:val="00C76E58"/>
    <w:rsid w:val="00C7798A"/>
    <w:rsid w:val="00C81212"/>
    <w:rsid w:val="00C857C4"/>
    <w:rsid w:val="00C864C5"/>
    <w:rsid w:val="00C91999"/>
    <w:rsid w:val="00C97246"/>
    <w:rsid w:val="00C972B0"/>
    <w:rsid w:val="00CA0EAE"/>
    <w:rsid w:val="00CA29AC"/>
    <w:rsid w:val="00CA38B5"/>
    <w:rsid w:val="00CA3D4E"/>
    <w:rsid w:val="00CA4D71"/>
    <w:rsid w:val="00CA4EFA"/>
    <w:rsid w:val="00CA5116"/>
    <w:rsid w:val="00CA5B8D"/>
    <w:rsid w:val="00CA6813"/>
    <w:rsid w:val="00CA6B22"/>
    <w:rsid w:val="00CA6D33"/>
    <w:rsid w:val="00CB0B1E"/>
    <w:rsid w:val="00CB2B5D"/>
    <w:rsid w:val="00CB480D"/>
    <w:rsid w:val="00CB49DA"/>
    <w:rsid w:val="00CB4A20"/>
    <w:rsid w:val="00CB4D81"/>
    <w:rsid w:val="00CB4FD0"/>
    <w:rsid w:val="00CB509E"/>
    <w:rsid w:val="00CB6471"/>
    <w:rsid w:val="00CC0590"/>
    <w:rsid w:val="00CC2BC6"/>
    <w:rsid w:val="00CC2F19"/>
    <w:rsid w:val="00CC3FEA"/>
    <w:rsid w:val="00CC4C1C"/>
    <w:rsid w:val="00CC5251"/>
    <w:rsid w:val="00CC578B"/>
    <w:rsid w:val="00CC5FD6"/>
    <w:rsid w:val="00CD07A7"/>
    <w:rsid w:val="00CD14DF"/>
    <w:rsid w:val="00CD1AC5"/>
    <w:rsid w:val="00CD20A0"/>
    <w:rsid w:val="00CD27D0"/>
    <w:rsid w:val="00CD46AF"/>
    <w:rsid w:val="00CD4C9A"/>
    <w:rsid w:val="00CD61B1"/>
    <w:rsid w:val="00CD6404"/>
    <w:rsid w:val="00CD7088"/>
    <w:rsid w:val="00CD74CE"/>
    <w:rsid w:val="00CD7587"/>
    <w:rsid w:val="00CD7732"/>
    <w:rsid w:val="00CD7D4F"/>
    <w:rsid w:val="00CE27F3"/>
    <w:rsid w:val="00CE386D"/>
    <w:rsid w:val="00CE60A7"/>
    <w:rsid w:val="00CE62C7"/>
    <w:rsid w:val="00CE6B81"/>
    <w:rsid w:val="00CE741B"/>
    <w:rsid w:val="00CF0647"/>
    <w:rsid w:val="00CF0DBE"/>
    <w:rsid w:val="00CF1C34"/>
    <w:rsid w:val="00CF1F0F"/>
    <w:rsid w:val="00CF39FE"/>
    <w:rsid w:val="00CF4D14"/>
    <w:rsid w:val="00CF6423"/>
    <w:rsid w:val="00CF76CF"/>
    <w:rsid w:val="00CF7BEE"/>
    <w:rsid w:val="00D03F6C"/>
    <w:rsid w:val="00D054B9"/>
    <w:rsid w:val="00D070F1"/>
    <w:rsid w:val="00D0783C"/>
    <w:rsid w:val="00D10374"/>
    <w:rsid w:val="00D110FA"/>
    <w:rsid w:val="00D12162"/>
    <w:rsid w:val="00D126D0"/>
    <w:rsid w:val="00D130B7"/>
    <w:rsid w:val="00D176CB"/>
    <w:rsid w:val="00D178BF"/>
    <w:rsid w:val="00D17953"/>
    <w:rsid w:val="00D17D42"/>
    <w:rsid w:val="00D20304"/>
    <w:rsid w:val="00D20A4E"/>
    <w:rsid w:val="00D210E8"/>
    <w:rsid w:val="00D22C67"/>
    <w:rsid w:val="00D23419"/>
    <w:rsid w:val="00D23E84"/>
    <w:rsid w:val="00D23F7D"/>
    <w:rsid w:val="00D25280"/>
    <w:rsid w:val="00D2589F"/>
    <w:rsid w:val="00D259CB"/>
    <w:rsid w:val="00D25FD2"/>
    <w:rsid w:val="00D26EA6"/>
    <w:rsid w:val="00D308A6"/>
    <w:rsid w:val="00D30E9C"/>
    <w:rsid w:val="00D324CD"/>
    <w:rsid w:val="00D3297B"/>
    <w:rsid w:val="00D333A8"/>
    <w:rsid w:val="00D348FF"/>
    <w:rsid w:val="00D34BED"/>
    <w:rsid w:val="00D360BF"/>
    <w:rsid w:val="00D37726"/>
    <w:rsid w:val="00D40869"/>
    <w:rsid w:val="00D40A24"/>
    <w:rsid w:val="00D41017"/>
    <w:rsid w:val="00D41963"/>
    <w:rsid w:val="00D42345"/>
    <w:rsid w:val="00D43971"/>
    <w:rsid w:val="00D46475"/>
    <w:rsid w:val="00D464D2"/>
    <w:rsid w:val="00D468B0"/>
    <w:rsid w:val="00D51F6C"/>
    <w:rsid w:val="00D52E38"/>
    <w:rsid w:val="00D5390A"/>
    <w:rsid w:val="00D53DB6"/>
    <w:rsid w:val="00D54237"/>
    <w:rsid w:val="00D55089"/>
    <w:rsid w:val="00D60515"/>
    <w:rsid w:val="00D60823"/>
    <w:rsid w:val="00D61B03"/>
    <w:rsid w:val="00D61CC2"/>
    <w:rsid w:val="00D634AF"/>
    <w:rsid w:val="00D64F46"/>
    <w:rsid w:val="00D66689"/>
    <w:rsid w:val="00D67992"/>
    <w:rsid w:val="00D706CC"/>
    <w:rsid w:val="00D70AE8"/>
    <w:rsid w:val="00D717D4"/>
    <w:rsid w:val="00D7220B"/>
    <w:rsid w:val="00D7305B"/>
    <w:rsid w:val="00D73226"/>
    <w:rsid w:val="00D73FBD"/>
    <w:rsid w:val="00D7488C"/>
    <w:rsid w:val="00D75475"/>
    <w:rsid w:val="00D80E06"/>
    <w:rsid w:val="00D81980"/>
    <w:rsid w:val="00D81DDE"/>
    <w:rsid w:val="00D83725"/>
    <w:rsid w:val="00D844D0"/>
    <w:rsid w:val="00D86562"/>
    <w:rsid w:val="00D8717D"/>
    <w:rsid w:val="00D952C9"/>
    <w:rsid w:val="00D95463"/>
    <w:rsid w:val="00D95673"/>
    <w:rsid w:val="00D9570A"/>
    <w:rsid w:val="00D971C4"/>
    <w:rsid w:val="00D97577"/>
    <w:rsid w:val="00DA1AC3"/>
    <w:rsid w:val="00DA2D89"/>
    <w:rsid w:val="00DA34F7"/>
    <w:rsid w:val="00DA3F50"/>
    <w:rsid w:val="00DA5BD0"/>
    <w:rsid w:val="00DB0AC8"/>
    <w:rsid w:val="00DB29EA"/>
    <w:rsid w:val="00DB4025"/>
    <w:rsid w:val="00DB48D7"/>
    <w:rsid w:val="00DB4EDD"/>
    <w:rsid w:val="00DB55B4"/>
    <w:rsid w:val="00DB72F7"/>
    <w:rsid w:val="00DB73D4"/>
    <w:rsid w:val="00DB756A"/>
    <w:rsid w:val="00DC053B"/>
    <w:rsid w:val="00DC1A19"/>
    <w:rsid w:val="00DC1E2E"/>
    <w:rsid w:val="00DC1F68"/>
    <w:rsid w:val="00DC22BA"/>
    <w:rsid w:val="00DC22E2"/>
    <w:rsid w:val="00DC34BB"/>
    <w:rsid w:val="00DC3AC0"/>
    <w:rsid w:val="00DC48F2"/>
    <w:rsid w:val="00DC58F6"/>
    <w:rsid w:val="00DC5AB4"/>
    <w:rsid w:val="00DC6246"/>
    <w:rsid w:val="00DC638D"/>
    <w:rsid w:val="00DC6978"/>
    <w:rsid w:val="00DC79C9"/>
    <w:rsid w:val="00DC7CD2"/>
    <w:rsid w:val="00DD05B7"/>
    <w:rsid w:val="00DD0865"/>
    <w:rsid w:val="00DD2E12"/>
    <w:rsid w:val="00DD2F93"/>
    <w:rsid w:val="00DD3027"/>
    <w:rsid w:val="00DD36F0"/>
    <w:rsid w:val="00DD3920"/>
    <w:rsid w:val="00DD395B"/>
    <w:rsid w:val="00DD3E2F"/>
    <w:rsid w:val="00DD4AD9"/>
    <w:rsid w:val="00DD7096"/>
    <w:rsid w:val="00DD72E9"/>
    <w:rsid w:val="00DE0732"/>
    <w:rsid w:val="00DE0F6B"/>
    <w:rsid w:val="00DE20AB"/>
    <w:rsid w:val="00DE2B3A"/>
    <w:rsid w:val="00DE580B"/>
    <w:rsid w:val="00DE73BB"/>
    <w:rsid w:val="00DF0989"/>
    <w:rsid w:val="00DF2212"/>
    <w:rsid w:val="00DF2223"/>
    <w:rsid w:val="00DF2FA2"/>
    <w:rsid w:val="00DF3F8E"/>
    <w:rsid w:val="00DF4083"/>
    <w:rsid w:val="00DF46C7"/>
    <w:rsid w:val="00DF4821"/>
    <w:rsid w:val="00DF6933"/>
    <w:rsid w:val="00DF76D3"/>
    <w:rsid w:val="00DF7D65"/>
    <w:rsid w:val="00E00C73"/>
    <w:rsid w:val="00E017FC"/>
    <w:rsid w:val="00E0194E"/>
    <w:rsid w:val="00E01F7D"/>
    <w:rsid w:val="00E02E4E"/>
    <w:rsid w:val="00E030D1"/>
    <w:rsid w:val="00E03640"/>
    <w:rsid w:val="00E03B28"/>
    <w:rsid w:val="00E03F87"/>
    <w:rsid w:val="00E051C7"/>
    <w:rsid w:val="00E05A0C"/>
    <w:rsid w:val="00E0639F"/>
    <w:rsid w:val="00E06B8A"/>
    <w:rsid w:val="00E07752"/>
    <w:rsid w:val="00E07C3B"/>
    <w:rsid w:val="00E07EB2"/>
    <w:rsid w:val="00E11C4D"/>
    <w:rsid w:val="00E15E94"/>
    <w:rsid w:val="00E20110"/>
    <w:rsid w:val="00E2071A"/>
    <w:rsid w:val="00E20918"/>
    <w:rsid w:val="00E20B40"/>
    <w:rsid w:val="00E25295"/>
    <w:rsid w:val="00E25674"/>
    <w:rsid w:val="00E26111"/>
    <w:rsid w:val="00E26892"/>
    <w:rsid w:val="00E27DA4"/>
    <w:rsid w:val="00E31317"/>
    <w:rsid w:val="00E324A9"/>
    <w:rsid w:val="00E32886"/>
    <w:rsid w:val="00E33885"/>
    <w:rsid w:val="00E403A2"/>
    <w:rsid w:val="00E40823"/>
    <w:rsid w:val="00E41662"/>
    <w:rsid w:val="00E41FD4"/>
    <w:rsid w:val="00E4232E"/>
    <w:rsid w:val="00E42A1A"/>
    <w:rsid w:val="00E43152"/>
    <w:rsid w:val="00E4672A"/>
    <w:rsid w:val="00E4723F"/>
    <w:rsid w:val="00E514DF"/>
    <w:rsid w:val="00E51F76"/>
    <w:rsid w:val="00E521C4"/>
    <w:rsid w:val="00E52B7F"/>
    <w:rsid w:val="00E53774"/>
    <w:rsid w:val="00E56C33"/>
    <w:rsid w:val="00E57B23"/>
    <w:rsid w:val="00E6319F"/>
    <w:rsid w:val="00E65D1C"/>
    <w:rsid w:val="00E667BA"/>
    <w:rsid w:val="00E67535"/>
    <w:rsid w:val="00E71934"/>
    <w:rsid w:val="00E71E93"/>
    <w:rsid w:val="00E72503"/>
    <w:rsid w:val="00E7322E"/>
    <w:rsid w:val="00E7428E"/>
    <w:rsid w:val="00E743D0"/>
    <w:rsid w:val="00E744E4"/>
    <w:rsid w:val="00E74CFE"/>
    <w:rsid w:val="00E778D3"/>
    <w:rsid w:val="00E806A6"/>
    <w:rsid w:val="00E836A7"/>
    <w:rsid w:val="00E83BB0"/>
    <w:rsid w:val="00E84BA8"/>
    <w:rsid w:val="00E87759"/>
    <w:rsid w:val="00E9063A"/>
    <w:rsid w:val="00E90FC0"/>
    <w:rsid w:val="00E92207"/>
    <w:rsid w:val="00E923E8"/>
    <w:rsid w:val="00E92CE0"/>
    <w:rsid w:val="00E95DC9"/>
    <w:rsid w:val="00E966B8"/>
    <w:rsid w:val="00EA04C4"/>
    <w:rsid w:val="00EA3FC8"/>
    <w:rsid w:val="00EA772A"/>
    <w:rsid w:val="00EA78D4"/>
    <w:rsid w:val="00EA7EE8"/>
    <w:rsid w:val="00EB0852"/>
    <w:rsid w:val="00EB196F"/>
    <w:rsid w:val="00EB3B71"/>
    <w:rsid w:val="00EB69F2"/>
    <w:rsid w:val="00EB6C4F"/>
    <w:rsid w:val="00EB6CE0"/>
    <w:rsid w:val="00EB783A"/>
    <w:rsid w:val="00EC0112"/>
    <w:rsid w:val="00EC02A2"/>
    <w:rsid w:val="00EC53FD"/>
    <w:rsid w:val="00EC549E"/>
    <w:rsid w:val="00EC5A59"/>
    <w:rsid w:val="00EC75C6"/>
    <w:rsid w:val="00ED21CB"/>
    <w:rsid w:val="00ED34FC"/>
    <w:rsid w:val="00EE2B87"/>
    <w:rsid w:val="00EE54F6"/>
    <w:rsid w:val="00EE6C1B"/>
    <w:rsid w:val="00EF019C"/>
    <w:rsid w:val="00EF0CE2"/>
    <w:rsid w:val="00EF14AE"/>
    <w:rsid w:val="00EF318B"/>
    <w:rsid w:val="00EF3855"/>
    <w:rsid w:val="00EF44F5"/>
    <w:rsid w:val="00EF49A6"/>
    <w:rsid w:val="00EF5280"/>
    <w:rsid w:val="00EF5BAB"/>
    <w:rsid w:val="00F00F9F"/>
    <w:rsid w:val="00F0158C"/>
    <w:rsid w:val="00F01759"/>
    <w:rsid w:val="00F02E59"/>
    <w:rsid w:val="00F034AC"/>
    <w:rsid w:val="00F0375F"/>
    <w:rsid w:val="00F042EA"/>
    <w:rsid w:val="00F057C0"/>
    <w:rsid w:val="00F063D8"/>
    <w:rsid w:val="00F06497"/>
    <w:rsid w:val="00F067DD"/>
    <w:rsid w:val="00F069A4"/>
    <w:rsid w:val="00F06FFF"/>
    <w:rsid w:val="00F070B1"/>
    <w:rsid w:val="00F07A87"/>
    <w:rsid w:val="00F10AFD"/>
    <w:rsid w:val="00F124E7"/>
    <w:rsid w:val="00F13DC5"/>
    <w:rsid w:val="00F15D1D"/>
    <w:rsid w:val="00F1640B"/>
    <w:rsid w:val="00F17E88"/>
    <w:rsid w:val="00F2146D"/>
    <w:rsid w:val="00F21E96"/>
    <w:rsid w:val="00F224F3"/>
    <w:rsid w:val="00F226CA"/>
    <w:rsid w:val="00F22719"/>
    <w:rsid w:val="00F24047"/>
    <w:rsid w:val="00F241DB"/>
    <w:rsid w:val="00F25010"/>
    <w:rsid w:val="00F25288"/>
    <w:rsid w:val="00F30715"/>
    <w:rsid w:val="00F30985"/>
    <w:rsid w:val="00F30CE5"/>
    <w:rsid w:val="00F31410"/>
    <w:rsid w:val="00F33A48"/>
    <w:rsid w:val="00F33FED"/>
    <w:rsid w:val="00F3505F"/>
    <w:rsid w:val="00F357A0"/>
    <w:rsid w:val="00F35F79"/>
    <w:rsid w:val="00F37946"/>
    <w:rsid w:val="00F43666"/>
    <w:rsid w:val="00F456A7"/>
    <w:rsid w:val="00F45E43"/>
    <w:rsid w:val="00F46B80"/>
    <w:rsid w:val="00F47919"/>
    <w:rsid w:val="00F512CC"/>
    <w:rsid w:val="00F51644"/>
    <w:rsid w:val="00F52D30"/>
    <w:rsid w:val="00F533F8"/>
    <w:rsid w:val="00F53669"/>
    <w:rsid w:val="00F53AFE"/>
    <w:rsid w:val="00F54B8F"/>
    <w:rsid w:val="00F557DB"/>
    <w:rsid w:val="00F5627F"/>
    <w:rsid w:val="00F577C8"/>
    <w:rsid w:val="00F61DAC"/>
    <w:rsid w:val="00F62012"/>
    <w:rsid w:val="00F62818"/>
    <w:rsid w:val="00F62C80"/>
    <w:rsid w:val="00F643E7"/>
    <w:rsid w:val="00F6578A"/>
    <w:rsid w:val="00F67479"/>
    <w:rsid w:val="00F70F42"/>
    <w:rsid w:val="00F710BF"/>
    <w:rsid w:val="00F7163F"/>
    <w:rsid w:val="00F7194A"/>
    <w:rsid w:val="00F744FA"/>
    <w:rsid w:val="00F74920"/>
    <w:rsid w:val="00F74CF1"/>
    <w:rsid w:val="00F74ED5"/>
    <w:rsid w:val="00F77AE0"/>
    <w:rsid w:val="00F77BB8"/>
    <w:rsid w:val="00F80225"/>
    <w:rsid w:val="00F80EFA"/>
    <w:rsid w:val="00F821BC"/>
    <w:rsid w:val="00F83385"/>
    <w:rsid w:val="00F834AB"/>
    <w:rsid w:val="00F834CC"/>
    <w:rsid w:val="00F84550"/>
    <w:rsid w:val="00F848DD"/>
    <w:rsid w:val="00F84E6F"/>
    <w:rsid w:val="00F854C7"/>
    <w:rsid w:val="00F85AF1"/>
    <w:rsid w:val="00F90F03"/>
    <w:rsid w:val="00F916BB"/>
    <w:rsid w:val="00F91845"/>
    <w:rsid w:val="00F91B76"/>
    <w:rsid w:val="00F931AA"/>
    <w:rsid w:val="00F94201"/>
    <w:rsid w:val="00F94576"/>
    <w:rsid w:val="00F94630"/>
    <w:rsid w:val="00F95601"/>
    <w:rsid w:val="00F967A7"/>
    <w:rsid w:val="00F96EDA"/>
    <w:rsid w:val="00FA028C"/>
    <w:rsid w:val="00FA10E2"/>
    <w:rsid w:val="00FA1500"/>
    <w:rsid w:val="00FA285A"/>
    <w:rsid w:val="00FA4712"/>
    <w:rsid w:val="00FA4D50"/>
    <w:rsid w:val="00FA4D52"/>
    <w:rsid w:val="00FA5E88"/>
    <w:rsid w:val="00FB01EF"/>
    <w:rsid w:val="00FB044B"/>
    <w:rsid w:val="00FB19B6"/>
    <w:rsid w:val="00FB2805"/>
    <w:rsid w:val="00FB425C"/>
    <w:rsid w:val="00FB4273"/>
    <w:rsid w:val="00FB64EC"/>
    <w:rsid w:val="00FB6AE7"/>
    <w:rsid w:val="00FC293C"/>
    <w:rsid w:val="00FC2DED"/>
    <w:rsid w:val="00FC2EB4"/>
    <w:rsid w:val="00FC49CB"/>
    <w:rsid w:val="00FC6C05"/>
    <w:rsid w:val="00FC768F"/>
    <w:rsid w:val="00FC76DE"/>
    <w:rsid w:val="00FC7B21"/>
    <w:rsid w:val="00FC7D9C"/>
    <w:rsid w:val="00FD124A"/>
    <w:rsid w:val="00FD22DC"/>
    <w:rsid w:val="00FD231B"/>
    <w:rsid w:val="00FD24D3"/>
    <w:rsid w:val="00FD2633"/>
    <w:rsid w:val="00FD402D"/>
    <w:rsid w:val="00FD44C3"/>
    <w:rsid w:val="00FD5790"/>
    <w:rsid w:val="00FD647B"/>
    <w:rsid w:val="00FD7016"/>
    <w:rsid w:val="00FD72A3"/>
    <w:rsid w:val="00FD769E"/>
    <w:rsid w:val="00FD7DBA"/>
    <w:rsid w:val="00FE0209"/>
    <w:rsid w:val="00FE062C"/>
    <w:rsid w:val="00FE0682"/>
    <w:rsid w:val="00FE0CB6"/>
    <w:rsid w:val="00FE284C"/>
    <w:rsid w:val="00FE4801"/>
    <w:rsid w:val="00FE5415"/>
    <w:rsid w:val="00FE6E6F"/>
    <w:rsid w:val="00FF059A"/>
    <w:rsid w:val="00FF17B2"/>
    <w:rsid w:val="00FF17F7"/>
    <w:rsid w:val="00FF1FC5"/>
    <w:rsid w:val="00FF21D8"/>
    <w:rsid w:val="00FF27F2"/>
    <w:rsid w:val="00FF2A10"/>
    <w:rsid w:val="00FF42A8"/>
    <w:rsid w:val="00FF46B0"/>
    <w:rsid w:val="00FF48B8"/>
    <w:rsid w:val="00FF5449"/>
    <w:rsid w:val="00FF6C63"/>
    <w:rsid w:val="00FF7283"/>
    <w:rsid w:val="0389A998"/>
    <w:rsid w:val="04035FDB"/>
    <w:rsid w:val="0DDAD993"/>
    <w:rsid w:val="11279B7D"/>
    <w:rsid w:val="118DBE05"/>
    <w:rsid w:val="15CFA2B5"/>
    <w:rsid w:val="22724B44"/>
    <w:rsid w:val="26FE6798"/>
    <w:rsid w:val="2B1B040C"/>
    <w:rsid w:val="2E70AEA8"/>
    <w:rsid w:val="3741570E"/>
    <w:rsid w:val="37F2B2C8"/>
    <w:rsid w:val="39DD3829"/>
    <w:rsid w:val="404BE235"/>
    <w:rsid w:val="4B1465E4"/>
    <w:rsid w:val="4F9C6EF8"/>
    <w:rsid w:val="50B7E4D3"/>
    <w:rsid w:val="54EF50BD"/>
    <w:rsid w:val="5589F7B8"/>
    <w:rsid w:val="5B511610"/>
    <w:rsid w:val="5C6372F8"/>
    <w:rsid w:val="5D5FBAE1"/>
    <w:rsid w:val="61C420D2"/>
    <w:rsid w:val="64F4E5EB"/>
    <w:rsid w:val="6526D2F1"/>
    <w:rsid w:val="6ABB632E"/>
    <w:rsid w:val="6CAE441D"/>
    <w:rsid w:val="6F49CE38"/>
    <w:rsid w:val="6FD505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BC1CD"/>
  <w15:chartTrackingRefBased/>
  <w15:docId w15:val="{3A0C9E33-FC37-4DCD-B05F-91EF5985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AB"/>
    <w:pPr>
      <w:spacing w:after="220" w:line="276" w:lineRule="auto"/>
      <w:jc w:val="both"/>
    </w:pPr>
  </w:style>
  <w:style w:type="paragraph" w:styleId="Heading1">
    <w:name w:val="heading 1"/>
    <w:basedOn w:val="Normal"/>
    <w:next w:val="Normal"/>
    <w:link w:val="Heading1Char"/>
    <w:uiPriority w:val="9"/>
    <w:qFormat/>
    <w:rsid w:val="00607CAB"/>
    <w:pPr>
      <w:keepNext/>
      <w:keepLines/>
      <w:numPr>
        <w:numId w:val="8"/>
      </w:numPr>
      <w:spacing w:after="120" w:line="240" w:lineRule="auto"/>
      <w:outlineLvl w:val="0"/>
    </w:pPr>
    <w:rPr>
      <w:rFonts w:eastAsiaTheme="majorEastAsia" w:cstheme="majorBidi"/>
      <w:b/>
      <w:szCs w:val="32"/>
      <w:u w:val="single"/>
    </w:rPr>
  </w:style>
  <w:style w:type="paragraph" w:styleId="Heading2">
    <w:name w:val="heading 2"/>
    <w:basedOn w:val="Heading1"/>
    <w:next w:val="Normal"/>
    <w:link w:val="Heading2Char"/>
    <w:uiPriority w:val="9"/>
    <w:unhideWhenUsed/>
    <w:qFormat/>
    <w:rsid w:val="004259C8"/>
    <w:pPr>
      <w:numPr>
        <w:ilvl w:val="1"/>
      </w:numPr>
      <w:outlineLvl w:val="1"/>
    </w:pPr>
    <w:rPr>
      <w:u w:val="none"/>
    </w:rPr>
  </w:style>
  <w:style w:type="paragraph" w:styleId="Heading3">
    <w:name w:val="heading 3"/>
    <w:basedOn w:val="Normal"/>
    <w:next w:val="Normal"/>
    <w:link w:val="Heading3Char"/>
    <w:uiPriority w:val="9"/>
    <w:unhideWhenUsed/>
    <w:qFormat/>
    <w:rsid w:val="00607CAB"/>
    <w:pPr>
      <w:keepNext/>
      <w:keepLines/>
      <w:numPr>
        <w:ilvl w:val="2"/>
        <w:numId w:val="8"/>
      </w:numPr>
      <w:spacing w:after="120" w:line="240" w:lineRule="auto"/>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607CAB"/>
    <w:pPr>
      <w:keepNext/>
      <w:keepLines/>
      <w:numPr>
        <w:ilvl w:val="3"/>
        <w:numId w:val="8"/>
      </w:numPr>
      <w:spacing w:after="120" w:line="240" w:lineRule="auto"/>
      <w:outlineLvl w:val="3"/>
    </w:pPr>
    <w:rPr>
      <w:rFonts w:eastAsiaTheme="majorEastAsia" w:cstheme="majorBidi"/>
      <w:iCs/>
      <w:u w:val="single"/>
    </w:rPr>
  </w:style>
  <w:style w:type="paragraph" w:styleId="Heading5">
    <w:name w:val="heading 5"/>
    <w:basedOn w:val="Normal"/>
    <w:next w:val="Normal"/>
    <w:link w:val="Heading5Char"/>
    <w:uiPriority w:val="9"/>
    <w:semiHidden/>
    <w:unhideWhenUsed/>
    <w:qFormat/>
    <w:rsid w:val="004259C8"/>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59C8"/>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59C8"/>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59C8"/>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59C8"/>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CAB"/>
    <w:rPr>
      <w:rFonts w:eastAsiaTheme="majorEastAsia" w:cstheme="majorBidi"/>
      <w:b/>
      <w:szCs w:val="32"/>
      <w:u w:val="single"/>
    </w:rPr>
  </w:style>
  <w:style w:type="paragraph" w:styleId="ListParagraph">
    <w:name w:val="List Paragraph"/>
    <w:basedOn w:val="Normal"/>
    <w:uiPriority w:val="1"/>
    <w:qFormat/>
    <w:rsid w:val="00607CAB"/>
    <w:pPr>
      <w:ind w:left="720"/>
      <w:contextualSpacing/>
    </w:pPr>
  </w:style>
  <w:style w:type="character" w:customStyle="1" w:styleId="Heading2Char">
    <w:name w:val="Heading 2 Char"/>
    <w:basedOn w:val="DefaultParagraphFont"/>
    <w:link w:val="Heading2"/>
    <w:uiPriority w:val="9"/>
    <w:rsid w:val="004259C8"/>
    <w:rPr>
      <w:rFonts w:eastAsiaTheme="majorEastAsia" w:cstheme="majorBidi"/>
      <w:b/>
      <w:szCs w:val="32"/>
    </w:rPr>
  </w:style>
  <w:style w:type="character" w:customStyle="1" w:styleId="Heading3Char">
    <w:name w:val="Heading 3 Char"/>
    <w:basedOn w:val="DefaultParagraphFont"/>
    <w:link w:val="Heading3"/>
    <w:uiPriority w:val="9"/>
    <w:rsid w:val="00607CAB"/>
    <w:rPr>
      <w:rFonts w:eastAsiaTheme="majorEastAsia" w:cstheme="majorBidi"/>
      <w:b/>
      <w:i/>
      <w:szCs w:val="24"/>
    </w:rPr>
  </w:style>
  <w:style w:type="character" w:customStyle="1" w:styleId="Heading4Char">
    <w:name w:val="Heading 4 Char"/>
    <w:basedOn w:val="DefaultParagraphFont"/>
    <w:link w:val="Heading4"/>
    <w:uiPriority w:val="9"/>
    <w:rsid w:val="00607CAB"/>
    <w:rPr>
      <w:rFonts w:eastAsiaTheme="majorEastAsia" w:cstheme="majorBidi"/>
      <w:iCs/>
      <w:u w:val="single"/>
    </w:rPr>
  </w:style>
  <w:style w:type="paragraph" w:styleId="Title">
    <w:name w:val="Title"/>
    <w:basedOn w:val="Normal"/>
    <w:next w:val="Normal"/>
    <w:link w:val="TitleChar"/>
    <w:uiPriority w:val="10"/>
    <w:qFormat/>
    <w:rsid w:val="0005280E"/>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5280E"/>
    <w:rPr>
      <w:rFonts w:eastAsiaTheme="majorEastAsia" w:cstheme="majorBidi"/>
      <w:b/>
      <w:spacing w:val="-10"/>
      <w:kern w:val="28"/>
      <w:sz w:val="56"/>
      <w:szCs w:val="56"/>
    </w:rPr>
  </w:style>
  <w:style w:type="paragraph" w:styleId="TOCHeading">
    <w:name w:val="TOC Heading"/>
    <w:basedOn w:val="Heading1"/>
    <w:next w:val="Normal"/>
    <w:uiPriority w:val="39"/>
    <w:unhideWhenUsed/>
    <w:qFormat/>
    <w:rsid w:val="00E32886"/>
    <w:pPr>
      <w:numPr>
        <w:numId w:val="0"/>
      </w:numPr>
      <w:spacing w:before="240" w:after="0" w:line="259" w:lineRule="auto"/>
      <w:jc w:val="left"/>
      <w:outlineLvl w:val="9"/>
    </w:pPr>
    <w:rPr>
      <w:rFonts w:asciiTheme="majorHAnsi" w:hAnsiTheme="majorHAnsi"/>
      <w:b w:val="0"/>
      <w:color w:val="2F5496" w:themeColor="accent1" w:themeShade="BF"/>
      <w:sz w:val="32"/>
      <w:u w:val="none"/>
      <w:lang w:val="en-US"/>
    </w:rPr>
  </w:style>
  <w:style w:type="character" w:customStyle="1" w:styleId="Heading5Char">
    <w:name w:val="Heading 5 Char"/>
    <w:basedOn w:val="DefaultParagraphFont"/>
    <w:link w:val="Heading5"/>
    <w:uiPriority w:val="9"/>
    <w:semiHidden/>
    <w:rsid w:val="004259C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59C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59C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59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59C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53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AB9"/>
  </w:style>
  <w:style w:type="paragraph" w:styleId="Footer">
    <w:name w:val="footer"/>
    <w:basedOn w:val="Normal"/>
    <w:link w:val="FooterChar"/>
    <w:uiPriority w:val="99"/>
    <w:unhideWhenUsed/>
    <w:rsid w:val="00753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AB9"/>
  </w:style>
  <w:style w:type="paragraph" w:customStyle="1" w:styleId="Footnote">
    <w:name w:val="Footnote"/>
    <w:basedOn w:val="Normal"/>
    <w:link w:val="FootnoteChar"/>
    <w:qFormat/>
    <w:rsid w:val="00753AB9"/>
    <w:pPr>
      <w:spacing w:after="0" w:line="240" w:lineRule="auto"/>
    </w:pPr>
    <w:rPr>
      <w:sz w:val="18"/>
      <w:szCs w:val="18"/>
    </w:rPr>
  </w:style>
  <w:style w:type="paragraph" w:styleId="FootnoteText">
    <w:name w:val="footnote text"/>
    <w:basedOn w:val="Normal"/>
    <w:link w:val="FootnoteTextChar"/>
    <w:uiPriority w:val="99"/>
    <w:semiHidden/>
    <w:unhideWhenUsed/>
    <w:rsid w:val="006933D7"/>
    <w:pPr>
      <w:spacing w:after="0" w:line="240" w:lineRule="auto"/>
    </w:pPr>
    <w:rPr>
      <w:sz w:val="20"/>
      <w:szCs w:val="20"/>
    </w:rPr>
  </w:style>
  <w:style w:type="character" w:customStyle="1" w:styleId="FootnoteChar">
    <w:name w:val="Footnote Char"/>
    <w:basedOn w:val="DefaultParagraphFont"/>
    <w:link w:val="Footnote"/>
    <w:rsid w:val="00753AB9"/>
    <w:rPr>
      <w:sz w:val="18"/>
      <w:szCs w:val="18"/>
    </w:rPr>
  </w:style>
  <w:style w:type="character" w:customStyle="1" w:styleId="FootnoteTextChar">
    <w:name w:val="Footnote Text Char"/>
    <w:basedOn w:val="DefaultParagraphFont"/>
    <w:link w:val="FootnoteText"/>
    <w:uiPriority w:val="99"/>
    <w:semiHidden/>
    <w:rsid w:val="006933D7"/>
    <w:rPr>
      <w:sz w:val="20"/>
      <w:szCs w:val="20"/>
    </w:rPr>
  </w:style>
  <w:style w:type="character" w:styleId="FootnoteReference">
    <w:name w:val="footnote reference"/>
    <w:basedOn w:val="DefaultParagraphFont"/>
    <w:uiPriority w:val="99"/>
    <w:semiHidden/>
    <w:unhideWhenUsed/>
    <w:rsid w:val="006933D7"/>
    <w:rPr>
      <w:vertAlign w:val="superscript"/>
    </w:rPr>
  </w:style>
  <w:style w:type="paragraph" w:styleId="TOC1">
    <w:name w:val="toc 1"/>
    <w:basedOn w:val="Normal"/>
    <w:next w:val="Normal"/>
    <w:autoRedefine/>
    <w:uiPriority w:val="39"/>
    <w:unhideWhenUsed/>
    <w:rsid w:val="00CA38B5"/>
    <w:pPr>
      <w:tabs>
        <w:tab w:val="right" w:leader="dot" w:pos="9350"/>
      </w:tabs>
      <w:spacing w:after="100"/>
      <w:jc w:val="left"/>
    </w:pPr>
  </w:style>
  <w:style w:type="paragraph" w:styleId="TOC2">
    <w:name w:val="toc 2"/>
    <w:basedOn w:val="Normal"/>
    <w:next w:val="Normal"/>
    <w:autoRedefine/>
    <w:uiPriority w:val="39"/>
    <w:unhideWhenUsed/>
    <w:rsid w:val="00747434"/>
    <w:pPr>
      <w:spacing w:after="100"/>
      <w:ind w:left="220"/>
    </w:pPr>
  </w:style>
  <w:style w:type="character" w:styleId="Hyperlink">
    <w:name w:val="Hyperlink"/>
    <w:basedOn w:val="DefaultParagraphFont"/>
    <w:uiPriority w:val="99"/>
    <w:unhideWhenUsed/>
    <w:rsid w:val="00747434"/>
    <w:rPr>
      <w:color w:val="0563C1" w:themeColor="hyperlink"/>
      <w:u w:val="single"/>
    </w:rPr>
  </w:style>
  <w:style w:type="character" w:styleId="CommentReference">
    <w:name w:val="annotation reference"/>
    <w:basedOn w:val="DefaultParagraphFont"/>
    <w:uiPriority w:val="99"/>
    <w:semiHidden/>
    <w:unhideWhenUsed/>
    <w:rsid w:val="000A2B36"/>
    <w:rPr>
      <w:sz w:val="16"/>
      <w:szCs w:val="16"/>
    </w:rPr>
  </w:style>
  <w:style w:type="paragraph" w:styleId="CommentText">
    <w:name w:val="annotation text"/>
    <w:basedOn w:val="Normal"/>
    <w:link w:val="CommentTextChar"/>
    <w:uiPriority w:val="99"/>
    <w:unhideWhenUsed/>
    <w:rsid w:val="000A2B36"/>
    <w:pPr>
      <w:spacing w:line="240" w:lineRule="auto"/>
    </w:pPr>
    <w:rPr>
      <w:sz w:val="20"/>
      <w:szCs w:val="20"/>
    </w:rPr>
  </w:style>
  <w:style w:type="character" w:customStyle="1" w:styleId="CommentTextChar">
    <w:name w:val="Comment Text Char"/>
    <w:basedOn w:val="DefaultParagraphFont"/>
    <w:link w:val="CommentText"/>
    <w:uiPriority w:val="99"/>
    <w:rsid w:val="000A2B36"/>
    <w:rPr>
      <w:sz w:val="20"/>
      <w:szCs w:val="20"/>
    </w:rPr>
  </w:style>
  <w:style w:type="paragraph" w:styleId="CommentSubject">
    <w:name w:val="annotation subject"/>
    <w:basedOn w:val="CommentText"/>
    <w:next w:val="CommentText"/>
    <w:link w:val="CommentSubjectChar"/>
    <w:uiPriority w:val="99"/>
    <w:semiHidden/>
    <w:unhideWhenUsed/>
    <w:rsid w:val="000A2B36"/>
    <w:rPr>
      <w:b/>
      <w:bCs/>
    </w:rPr>
  </w:style>
  <w:style w:type="character" w:customStyle="1" w:styleId="CommentSubjectChar">
    <w:name w:val="Comment Subject Char"/>
    <w:basedOn w:val="CommentTextChar"/>
    <w:link w:val="CommentSubject"/>
    <w:uiPriority w:val="99"/>
    <w:semiHidden/>
    <w:rsid w:val="000A2B36"/>
    <w:rPr>
      <w:b/>
      <w:bCs/>
      <w:sz w:val="20"/>
      <w:szCs w:val="20"/>
    </w:rPr>
  </w:style>
  <w:style w:type="character" w:styleId="UnresolvedMention">
    <w:name w:val="Unresolved Mention"/>
    <w:basedOn w:val="DefaultParagraphFont"/>
    <w:uiPriority w:val="99"/>
    <w:semiHidden/>
    <w:unhideWhenUsed/>
    <w:rsid w:val="0081046F"/>
    <w:rPr>
      <w:color w:val="605E5C"/>
      <w:shd w:val="clear" w:color="auto" w:fill="E1DFDD"/>
    </w:rPr>
  </w:style>
  <w:style w:type="table" w:styleId="TableGrid">
    <w:name w:val="Table Grid"/>
    <w:basedOn w:val="TableNormal"/>
    <w:uiPriority w:val="39"/>
    <w:rsid w:val="00961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link w:val="FigureChar"/>
    <w:qFormat/>
    <w:rsid w:val="00E65D1C"/>
    <w:rPr>
      <w:b/>
      <w:bCs/>
      <w:color w:val="2F5496" w:themeColor="accent1" w:themeShade="BF"/>
      <w:sz w:val="24"/>
      <w:szCs w:val="24"/>
    </w:rPr>
  </w:style>
  <w:style w:type="character" w:customStyle="1" w:styleId="FigureChar">
    <w:name w:val="Figure Char"/>
    <w:basedOn w:val="DefaultParagraphFont"/>
    <w:link w:val="Figure"/>
    <w:rsid w:val="00E65D1C"/>
    <w:rPr>
      <w:b/>
      <w:bCs/>
      <w:color w:val="2F5496" w:themeColor="accent1" w:themeShade="BF"/>
      <w:sz w:val="24"/>
      <w:szCs w:val="24"/>
    </w:rPr>
  </w:style>
  <w:style w:type="paragraph" w:customStyle="1" w:styleId="TableParagraph">
    <w:name w:val="Table Paragraph"/>
    <w:basedOn w:val="Normal"/>
    <w:uiPriority w:val="1"/>
    <w:qFormat/>
    <w:rsid w:val="00107186"/>
    <w:pPr>
      <w:widowControl w:val="0"/>
      <w:spacing w:after="0" w:line="240" w:lineRule="auto"/>
      <w:jc w:val="left"/>
    </w:pPr>
    <w:rPr>
      <w:lang w:val="en-US"/>
    </w:rPr>
  </w:style>
  <w:style w:type="character" w:styleId="FollowedHyperlink">
    <w:name w:val="FollowedHyperlink"/>
    <w:basedOn w:val="DefaultParagraphFont"/>
    <w:uiPriority w:val="99"/>
    <w:semiHidden/>
    <w:unhideWhenUsed/>
    <w:rsid w:val="00531B16"/>
    <w:rPr>
      <w:color w:val="954F72" w:themeColor="followedHyperlink"/>
      <w:u w:val="single"/>
    </w:rPr>
  </w:style>
  <w:style w:type="paragraph" w:styleId="Revision">
    <w:name w:val="Revision"/>
    <w:hidden/>
    <w:uiPriority w:val="99"/>
    <w:semiHidden/>
    <w:rsid w:val="007107AD"/>
    <w:pPr>
      <w:spacing w:after="0" w:line="240" w:lineRule="auto"/>
    </w:pPr>
  </w:style>
  <w:style w:type="table" w:customStyle="1" w:styleId="TableGrid1">
    <w:name w:val="Table Grid1"/>
    <w:basedOn w:val="TableNormal"/>
    <w:next w:val="TableGrid"/>
    <w:uiPriority w:val="59"/>
    <w:rsid w:val="00313089"/>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891056"/>
    <w:pPr>
      <w:spacing w:after="0" w:line="240" w:lineRule="auto"/>
    </w:pPr>
    <w:rPr>
      <w:rFonts w:ascii="Calibri" w:eastAsia="Times New Roman" w:hAnsi="Calibri" w:cs="Calibri"/>
      <w:lang w:val="en-US"/>
    </w:rPr>
  </w:style>
  <w:style w:type="character" w:customStyle="1" w:styleId="NoSpacingChar">
    <w:name w:val="No Spacing Char"/>
    <w:link w:val="NoSpacing"/>
    <w:uiPriority w:val="1"/>
    <w:locked/>
    <w:rsid w:val="00891056"/>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hyperlink" Target="https://www.justice.gov.nt.ca/en/files/legislation/waters/waters.r1.pdf" TargetMode="External"/><Relationship Id="rId39" Type="http://schemas.openxmlformats.org/officeDocument/2006/relationships/hyperlink" Target="https://mvlwb.com/sites/default/files/wlwb_5363_guidelines_closure_reclamation_wr.pdf" TargetMode="External"/><Relationship Id="rId21" Type="http://schemas.openxmlformats.org/officeDocument/2006/relationships/header" Target="header4.xml"/><Relationship Id="rId34" Type="http://schemas.openxmlformats.org/officeDocument/2006/relationships/hyperlink" Target="https://mvlwb.com/sites/default/files/standard_land_use_permit_conditions_template_-_public_version_2.3_-_aug_7_20.pdf" TargetMode="External"/><Relationship Id="rId42" Type="http://schemas.openxmlformats.org/officeDocument/2006/relationships/hyperlink" Target="https://mvlwb.com/sites/default/files/mvlwb_engagement_policy_-_information_for_proponents_-_mar_2_20.pdf" TargetMode="External"/><Relationship Id="rId47" Type="http://schemas.openxmlformats.org/officeDocument/2006/relationships/hyperlink" Target="https://mvlwb.com/sites/default/files/standard_water_licence_conditions_and_schedules_-_basic_-_apr_20_20.pdf" TargetMode="External"/><Relationship Id="rId50" Type="http://schemas.openxmlformats.org/officeDocument/2006/relationships/hyperlink" Target="https://mvlwb.com/sites/default/files/2020-09/lwb_guide_to_the_water_licensing_process_-_final_-_sep_16_20.pdf" TargetMode="External"/><Relationship Id="rId55"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laws-lois.justice.gc.ca/PDF/SOR-98-429.pdf" TargetMode="External"/><Relationship Id="rId11" Type="http://schemas.openxmlformats.org/officeDocument/2006/relationships/comments" Target="comments.xml"/><Relationship Id="rId24" Type="http://schemas.openxmlformats.org/officeDocument/2006/relationships/header" Target="header6.xml"/><Relationship Id="rId32" Type="http://schemas.openxmlformats.org/officeDocument/2006/relationships/hyperlink" Target="https://mvlwb.com/resources/resources-municipalities" TargetMode="External"/><Relationship Id="rId37" Type="http://schemas.openxmlformats.org/officeDocument/2006/relationships/hyperlink" Target="https://mvlwb.com/sites/default/files/images/Guidelines/Guidelines%20for%20Effluent%20Mixing%20Zones%20-%20Final%20Draft%20-%20June%202017_EDIT9.pdf" TargetMode="External"/><Relationship Id="rId40" Type="http://schemas.openxmlformats.org/officeDocument/2006/relationships/hyperlink" Target="https://mvlwb.com/sites/default/files/mvlwb_engagement_and_consultation_policy_-_nov_25_19.pdf" TargetMode="External"/><Relationship Id="rId45" Type="http://schemas.openxmlformats.org/officeDocument/2006/relationships/hyperlink" Target="https://mvlwb.com/sites/default/files/images/Guidelines/Guidelines%20for%20Effluent%20Mixing%20Zones%20-%20Final%20Draft%20-%20June%202017_EDIT9.pdf" TargetMode="External"/><Relationship Id="rId53" Type="http://schemas.openxmlformats.org/officeDocument/2006/relationships/hyperlink" Target="https://mvlwb.com/sites/default/files/mvlwb_engagement_guidelines_for_holders_of_lups_and_wls_-_october_2_19.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5.xml"/><Relationship Id="rId27" Type="http://schemas.openxmlformats.org/officeDocument/2006/relationships/hyperlink" Target="http://laws-lois.justice.gc.ca/PDF/M-0.2.pdf" TargetMode="External"/><Relationship Id="rId30" Type="http://schemas.openxmlformats.org/officeDocument/2006/relationships/hyperlink" Target="https://mvlwb.com/sites/default/files/2020-09/lwb_guide_to_the_water_licensing_process_-_final_-_sep_16_20.pdf" TargetMode="External"/><Relationship Id="rId35" Type="http://schemas.openxmlformats.org/officeDocument/2006/relationships/hyperlink" Target="https://mvlwb.com/sites/default/files/documents/MVLWB-Guidelines-for-Developing-a-Waste-Management-Plan-Mar-31_11-JCWG.pdf" TargetMode="External"/><Relationship Id="rId43" Type="http://schemas.openxmlformats.org/officeDocument/2006/relationships/hyperlink" Target="https://mvlwb.com/sites/default/files/documents/MVLWB-Guidelines-for-Developing-a-Waste-Management-Plan-Mar-31_11-JCWG.pdf" TargetMode="External"/><Relationship Id="rId48" Type="http://schemas.openxmlformats.org/officeDocument/2006/relationships/hyperlink" Target="https://mvlwb.com/sites/default/files/aemp_guidelines_-_mar_5_19.pdf" TargetMode="External"/><Relationship Id="rId56"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s://mvlwb.com/sites/default/files/2021-08/LWB%20Guide%20to%20the%20Land%20Use%20Permitting%20Process%20-%20FINAL%20-%20Aug%2030_21.pdf"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yperlink" Target="https://www.justice.gov.nt.ca/en/files/legislation/waters/waters.a.pdf" TargetMode="External"/><Relationship Id="rId33" Type="http://schemas.openxmlformats.org/officeDocument/2006/relationships/hyperlink" Target="https://mvlwb.com/sites/default/files/standard_water_licence_conditions_and_schedules_-_basic_-_apr_20_20.pdf" TargetMode="External"/><Relationship Id="rId38" Type="http://schemas.openxmlformats.org/officeDocument/2006/relationships/hyperlink" Target="https://mvlwb.com/sites/default/files/aemp_guidelines_-_mar_5_19.pdf" TargetMode="External"/><Relationship Id="rId46" Type="http://schemas.openxmlformats.org/officeDocument/2006/relationships/image" Target="media/image1.emf"/><Relationship Id="rId59" Type="http://schemas.microsoft.com/office/2011/relationships/people" Target="people.xml"/><Relationship Id="rId20" Type="http://schemas.openxmlformats.org/officeDocument/2006/relationships/footer" Target="footer3.xml"/><Relationship Id="rId41" Type="http://schemas.openxmlformats.org/officeDocument/2006/relationships/hyperlink" Target="https://mvlwb.com/sites/default/files/mvlwb_engagement_guidelines_for_holders_of_lups_and_wls_-_october_2_19.pdf"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laws-lois.justice.gc.ca/PDF/SOR-93-303.pdf" TargetMode="External"/><Relationship Id="rId36" Type="http://schemas.openxmlformats.org/officeDocument/2006/relationships/hyperlink" Target="https://mvlwb.com/sites/default/files/guideline_for_petroleum_hydrocarbon_contaminated_soil_treatment_facilities_in_the_northwest_territories_-_final_-_jan_10_20.pdf" TargetMode="External"/><Relationship Id="rId49" Type="http://schemas.openxmlformats.org/officeDocument/2006/relationships/hyperlink" Target="https://mvlwb.com/sites/default/files/2021-04/GNWT%20Standards%20for%20Reporting%20Water%20Quality%20Information%20-%20FINAL%20-%20Dec_20.pdf" TargetMode="External"/><Relationship Id="rId57" Type="http://schemas.openxmlformats.org/officeDocument/2006/relationships/header" Target="header9.xml"/><Relationship Id="rId10" Type="http://schemas.openxmlformats.org/officeDocument/2006/relationships/endnotes" Target="endnotes.xml"/><Relationship Id="rId31" Type="http://schemas.openxmlformats.org/officeDocument/2006/relationships/hyperlink" Target="https://mvlwb.com/sites/default/files/2021-08/LWB%20Guide%20to%20the%20Land%20Use%20Permitting%20Process%20-%20FINAL%20-%20Aug%2030_21.pdf" TargetMode="External"/><Relationship Id="rId44" Type="http://schemas.openxmlformats.org/officeDocument/2006/relationships/hyperlink" Target="https://mvlwb.com/sites/default/files/2021-06/LWB%20Standard%20Outline%20for%20Management%20Plans%20-%20Approved%20-%20Jun%2010_21_0.pdf" TargetMode="External"/><Relationship Id="rId52" Type="http://schemas.openxmlformats.org/officeDocument/2006/relationships/hyperlink" Target="https://mvlwb.com/sites/default/files/mvlwb_engagement_and_consultation_policy_-_nov_25_19.pdf"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vlwb.com/sites/default/files/standard_land_use_permit_conditions_template_-_public_version_2.3_-_aug_7_20.pdf" TargetMode="External"/><Relationship Id="rId13" Type="http://schemas.openxmlformats.org/officeDocument/2006/relationships/hyperlink" Target="https://reviewboard.ca/upload/ref_library/1247177561_MVReviewBoard_Traditional_Knowledge_Guidelines.pdf" TargetMode="External"/><Relationship Id="rId3" Type="http://schemas.openxmlformats.org/officeDocument/2006/relationships/hyperlink" Target="http://www.slwb.com" TargetMode="External"/><Relationship Id="rId7" Type="http://schemas.openxmlformats.org/officeDocument/2006/relationships/hyperlink" Target="https://mvlwb.com/sites/default/files/standard_water_licence_conditions_and_schedules_-_basic_-_apr_20_20.pdf" TargetMode="External"/><Relationship Id="rId12" Type="http://schemas.openxmlformats.org/officeDocument/2006/relationships/hyperlink" Target="https://mvlwb.com/sites/default/files/images/Guidelines/Guidelines%20for%20Effluent%20Mixing%20Zones%20-%20Final%20Draft%20-%20June%202017_EDIT9.pdf" TargetMode="External"/><Relationship Id="rId2" Type="http://schemas.openxmlformats.org/officeDocument/2006/relationships/hyperlink" Target="https://mvlwb.com/" TargetMode="External"/><Relationship Id="rId16" Type="http://schemas.openxmlformats.org/officeDocument/2006/relationships/hyperlink" Target="https://reviewboard.ca/file/1132/download?token=c5tFrEqL" TargetMode="External"/><Relationship Id="rId1" Type="http://schemas.openxmlformats.org/officeDocument/2006/relationships/hyperlink" Target="http://www.glwb.com" TargetMode="External"/><Relationship Id="rId6" Type="http://schemas.openxmlformats.org/officeDocument/2006/relationships/hyperlink" Target="https://glwb.com/sites/default/files/documents/NWT_Water_Stewardship_Strategy.pdf" TargetMode="External"/><Relationship Id="rId11" Type="http://schemas.openxmlformats.org/officeDocument/2006/relationships/hyperlink" Target="https://mvlwb.com/sites/default/files/wlwb_5363_guidelines_closure_reclamation_wr.pdf" TargetMode="External"/><Relationship Id="rId5" Type="http://schemas.openxmlformats.org/officeDocument/2006/relationships/hyperlink" Target="https://www.nwtwaterstewardship.ca/" TargetMode="External"/><Relationship Id="rId15" Type="http://schemas.openxmlformats.org/officeDocument/2006/relationships/hyperlink" Target="https://reviewboard.ca/" TargetMode="External"/><Relationship Id="rId10" Type="http://schemas.openxmlformats.org/officeDocument/2006/relationships/hyperlink" Target="https://mvlwb.com/sites/default/files/2021-08/LWB%20Guide%20to%20the%20Land%20Use%20Permitting%20Process%20-%20FINAL%20-%20Aug%2030_21.pdf" TargetMode="External"/><Relationship Id="rId4" Type="http://schemas.openxmlformats.org/officeDocument/2006/relationships/hyperlink" Target="https://wlwb.ca/" TargetMode="External"/><Relationship Id="rId9" Type="http://schemas.openxmlformats.org/officeDocument/2006/relationships/hyperlink" Target="https://mvlwb.com/sites/default/files/2021-08/LWB%20Guide%20to%20the%20Water%20Licensing%20Process%20-%20FINAL%20-%20Aug%2030_21.pdf" TargetMode="External"/><Relationship Id="rId14" Type="http://schemas.openxmlformats.org/officeDocument/2006/relationships/hyperlink" Target="https://reviewboar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E13A1328FA5E419C326E46BC5F49F3" ma:contentTypeVersion="10" ma:contentTypeDescription="Create a new document." ma:contentTypeScope="" ma:versionID="c9efa8ae8a48fc6b3e36d9195f029fe6">
  <xsd:schema xmlns:xsd="http://www.w3.org/2001/XMLSchema" xmlns:xs="http://www.w3.org/2001/XMLSchema" xmlns:p="http://schemas.microsoft.com/office/2006/metadata/properties" xmlns:ns2="67d74a08-da6c-4518-b3dd-c08fa5070b71" xmlns:ns3="af005c88-96ac-49a7-a5af-3c897788bcbd" targetNamespace="http://schemas.microsoft.com/office/2006/metadata/properties" ma:root="true" ma:fieldsID="e912b05ae1317b8947d93e34de42c5ea" ns2:_="" ns3:_="">
    <xsd:import namespace="67d74a08-da6c-4518-b3dd-c08fa5070b71"/>
    <xsd:import namespace="af005c88-96ac-49a7-a5af-3c897788bc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4a08-da6c-4518-b3dd-c08fa5070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05c88-96ac-49a7-a5af-3c897788bc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f005c88-96ac-49a7-a5af-3c897788bcbd">
      <UserInfo>
        <DisplayName>Anneli Jokela</DisplayName>
        <AccountId>21</AccountId>
        <AccountType/>
      </UserInfo>
    </SharedWithUsers>
  </documentManagement>
</p:properties>
</file>

<file path=customXml/itemProps1.xml><?xml version="1.0" encoding="utf-8"?>
<ds:datastoreItem xmlns:ds="http://schemas.openxmlformats.org/officeDocument/2006/customXml" ds:itemID="{A33B5D25-4307-412B-A056-429050A09A56}">
  <ds:schemaRefs>
    <ds:schemaRef ds:uri="http://schemas.microsoft.com/sharepoint/v3/contenttype/forms"/>
  </ds:schemaRefs>
</ds:datastoreItem>
</file>

<file path=customXml/itemProps2.xml><?xml version="1.0" encoding="utf-8"?>
<ds:datastoreItem xmlns:ds="http://schemas.openxmlformats.org/officeDocument/2006/customXml" ds:itemID="{D5D3773F-F6C0-4CA9-9A6D-0C02CC93AEA1}">
  <ds:schemaRefs>
    <ds:schemaRef ds:uri="http://schemas.openxmlformats.org/officeDocument/2006/bibliography"/>
  </ds:schemaRefs>
</ds:datastoreItem>
</file>

<file path=customXml/itemProps3.xml><?xml version="1.0" encoding="utf-8"?>
<ds:datastoreItem xmlns:ds="http://schemas.openxmlformats.org/officeDocument/2006/customXml" ds:itemID="{67E7AB27-FF9F-4C4F-ABB9-27409F37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4a08-da6c-4518-b3dd-c08fa5070b71"/>
    <ds:schemaRef ds:uri="af005c88-96ac-49a7-a5af-3c897788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35A82-BFFF-4633-9965-0CCF5F2054E1}">
  <ds:schemaRefs>
    <ds:schemaRef ds:uri="http://schemas.microsoft.com/office/2006/metadata/properties"/>
    <ds:schemaRef ds:uri="af005c88-96ac-49a7-a5af-3c897788bcbd"/>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67d74a08-da6c-4518-b3dd-c08fa5070b7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6737</Words>
  <Characters>38407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45054</CharactersWithSpaces>
  <SharedDoc>false</SharedDoc>
  <HLinks>
    <vt:vector size="390" baseType="variant">
      <vt:variant>
        <vt:i4>7471204</vt:i4>
      </vt:variant>
      <vt:variant>
        <vt:i4>237</vt:i4>
      </vt:variant>
      <vt:variant>
        <vt:i4>0</vt:i4>
      </vt:variant>
      <vt:variant>
        <vt:i4>5</vt:i4>
      </vt:variant>
      <vt:variant>
        <vt:lpwstr>https://mvlwb.com/sites/default/files/mvlwb_engagement_policy_-_information_for_proponents_-_mar_2_20.pdf</vt:lpwstr>
      </vt:variant>
      <vt:variant>
        <vt:lpwstr/>
      </vt:variant>
      <vt:variant>
        <vt:i4>786503</vt:i4>
      </vt:variant>
      <vt:variant>
        <vt:i4>234</vt:i4>
      </vt:variant>
      <vt:variant>
        <vt:i4>0</vt:i4>
      </vt:variant>
      <vt:variant>
        <vt:i4>5</vt:i4>
      </vt:variant>
      <vt:variant>
        <vt:lpwstr>https://mvlwb.com/sites/default/files/mvlwb_engagement_guidelines_for_holders_of_lups_and_wls_-_october_2_19.pdf</vt:lpwstr>
      </vt:variant>
      <vt:variant>
        <vt:lpwstr/>
      </vt:variant>
      <vt:variant>
        <vt:i4>5832799</vt:i4>
      </vt:variant>
      <vt:variant>
        <vt:i4>231</vt:i4>
      </vt:variant>
      <vt:variant>
        <vt:i4>0</vt:i4>
      </vt:variant>
      <vt:variant>
        <vt:i4>5</vt:i4>
      </vt:variant>
      <vt:variant>
        <vt:lpwstr>https://mvlwb.com/sites/default/files/mvlwb_engagement_and_consultation_policy_-_nov_25_19.pdf</vt:lpwstr>
      </vt:variant>
      <vt:variant>
        <vt:lpwstr/>
      </vt:variant>
      <vt:variant>
        <vt:i4>6488176</vt:i4>
      </vt:variant>
      <vt:variant>
        <vt:i4>225</vt:i4>
      </vt:variant>
      <vt:variant>
        <vt:i4>0</vt:i4>
      </vt:variant>
      <vt:variant>
        <vt:i4>5</vt:i4>
      </vt:variant>
      <vt:variant>
        <vt:lpwstr>https://www.maca.gov.nt.ca/en/content/nwt-drinking-water-sampling-and-testing-requirements</vt:lpwstr>
      </vt:variant>
      <vt:variant>
        <vt:lpwstr/>
      </vt:variant>
      <vt:variant>
        <vt:i4>327788</vt:i4>
      </vt:variant>
      <vt:variant>
        <vt:i4>222</vt:i4>
      </vt:variant>
      <vt:variant>
        <vt:i4>0</vt:i4>
      </vt:variant>
      <vt:variant>
        <vt:i4>5</vt:i4>
      </vt:variant>
      <vt:variant>
        <vt:lpwstr>https://mvlwb.com/sites/default/files/aemp_guidelines_-_mar_5_19.pdf</vt:lpwstr>
      </vt:variant>
      <vt:variant>
        <vt:lpwstr/>
      </vt:variant>
      <vt:variant>
        <vt:i4>786557</vt:i4>
      </vt:variant>
      <vt:variant>
        <vt:i4>219</vt:i4>
      </vt:variant>
      <vt:variant>
        <vt:i4>0</vt:i4>
      </vt:variant>
      <vt:variant>
        <vt:i4>5</vt:i4>
      </vt:variant>
      <vt:variant>
        <vt:lpwstr>https://mvlwb.com/sites/default/files/guideline_for_petroleum_hydrocarbon_contaminated_soil_treatment_facilities_in_the_northwest_territories_-_final_-_jan_10_20.pdf</vt:lpwstr>
      </vt:variant>
      <vt:variant>
        <vt:lpwstr/>
      </vt:variant>
      <vt:variant>
        <vt:i4>327788</vt:i4>
      </vt:variant>
      <vt:variant>
        <vt:i4>216</vt:i4>
      </vt:variant>
      <vt:variant>
        <vt:i4>0</vt:i4>
      </vt:variant>
      <vt:variant>
        <vt:i4>5</vt:i4>
      </vt:variant>
      <vt:variant>
        <vt:lpwstr>https://mvlwb.com/sites/default/files/aemp_guidelines_-_mar_5_19.pdf</vt:lpwstr>
      </vt:variant>
      <vt:variant>
        <vt:lpwstr/>
      </vt:variant>
      <vt:variant>
        <vt:i4>5308433</vt:i4>
      </vt:variant>
      <vt:variant>
        <vt:i4>213</vt:i4>
      </vt:variant>
      <vt:variant>
        <vt:i4>0</vt:i4>
      </vt:variant>
      <vt:variant>
        <vt:i4>5</vt:i4>
      </vt:variant>
      <vt:variant>
        <vt:lpwstr>https://www.orogo.gov.nt.ca/en/contingency-plan-guidelines-and-interpretation-notes-1</vt:lpwstr>
      </vt:variant>
      <vt:variant>
        <vt:lpwstr/>
      </vt:variant>
      <vt:variant>
        <vt:i4>7340032</vt:i4>
      </vt:variant>
      <vt:variant>
        <vt:i4>210</vt:i4>
      </vt:variant>
      <vt:variant>
        <vt:i4>0</vt:i4>
      </vt:variant>
      <vt:variant>
        <vt:i4>5</vt:i4>
      </vt:variant>
      <vt:variant>
        <vt:lpwstr>https://mvlwb.com/sites/default/files/guidelines_for_spill_contingency_planning_2007.pdf</vt:lpwstr>
      </vt:variant>
      <vt:variant>
        <vt:lpwstr/>
      </vt:variant>
      <vt:variant>
        <vt:i4>3932244</vt:i4>
      </vt:variant>
      <vt:variant>
        <vt:i4>207</vt:i4>
      </vt:variant>
      <vt:variant>
        <vt:i4>0</vt:i4>
      </vt:variant>
      <vt:variant>
        <vt:i4>5</vt:i4>
      </vt:variant>
      <vt:variant>
        <vt:lpwstr>https://mvlwb.com/sites/default/files/wlwb_5363_guidelines_closure_reclamation_wr.pdf</vt:lpwstr>
      </vt:variant>
      <vt:variant>
        <vt:lpwstr/>
      </vt:variant>
      <vt:variant>
        <vt:i4>5308521</vt:i4>
      </vt:variant>
      <vt:variant>
        <vt:i4>204</vt:i4>
      </vt:variant>
      <vt:variant>
        <vt:i4>0</vt:i4>
      </vt:variant>
      <vt:variant>
        <vt:i4>5</vt:i4>
      </vt:variant>
      <vt:variant>
        <vt:lpwstr>https://mvlwb.com/sites/default/files/images/Guidelines/Guidelines for Effluent Mixing Zones - Final Draft - June 2017_EDIT9.pdf</vt:lpwstr>
      </vt:variant>
      <vt:variant>
        <vt:lpwstr/>
      </vt:variant>
      <vt:variant>
        <vt:i4>5308521</vt:i4>
      </vt:variant>
      <vt:variant>
        <vt:i4>201</vt:i4>
      </vt:variant>
      <vt:variant>
        <vt:i4>0</vt:i4>
      </vt:variant>
      <vt:variant>
        <vt:i4>5</vt:i4>
      </vt:variant>
      <vt:variant>
        <vt:lpwstr>https://mvlwb.com/sites/default/files/images/Guidelines/Guidelines for Effluent Mixing Zones - Final Draft - June 2017_EDIT9.pdf</vt:lpwstr>
      </vt:variant>
      <vt:variant>
        <vt:lpwstr/>
      </vt:variant>
      <vt:variant>
        <vt:i4>6946870</vt:i4>
      </vt:variant>
      <vt:variant>
        <vt:i4>198</vt:i4>
      </vt:variant>
      <vt:variant>
        <vt:i4>0</vt:i4>
      </vt:variant>
      <vt:variant>
        <vt:i4>5</vt:i4>
      </vt:variant>
      <vt:variant>
        <vt:lpwstr>https://www.nwtwaterstewardship.ca/</vt:lpwstr>
      </vt:variant>
      <vt:variant>
        <vt:lpwstr/>
      </vt:variant>
      <vt:variant>
        <vt:i4>3014701</vt:i4>
      </vt:variant>
      <vt:variant>
        <vt:i4>195</vt:i4>
      </vt:variant>
      <vt:variant>
        <vt:i4>0</vt:i4>
      </vt:variant>
      <vt:variant>
        <vt:i4>5</vt:i4>
      </vt:variant>
      <vt:variant>
        <vt:lpwstr>https://www.enr.gov.nt.ca/en/services/nwt-cumulative-impact-monitoring-program-nwt-cimp</vt:lpwstr>
      </vt:variant>
      <vt:variant>
        <vt:lpwstr/>
      </vt:variant>
      <vt:variant>
        <vt:i4>393285</vt:i4>
      </vt:variant>
      <vt:variant>
        <vt:i4>189</vt:i4>
      </vt:variant>
      <vt:variant>
        <vt:i4>0</vt:i4>
      </vt:variant>
      <vt:variant>
        <vt:i4>5</vt:i4>
      </vt:variant>
      <vt:variant>
        <vt:lpwstr>https://mvlwb.com/sites/default/files/2020-09/lwb_guide_to_the_water_licensing_process_-_final_-_sep_16_20.pdf</vt:lpwstr>
      </vt:variant>
      <vt:variant>
        <vt:lpwstr/>
      </vt:variant>
      <vt:variant>
        <vt:i4>786503</vt:i4>
      </vt:variant>
      <vt:variant>
        <vt:i4>186</vt:i4>
      </vt:variant>
      <vt:variant>
        <vt:i4>0</vt:i4>
      </vt:variant>
      <vt:variant>
        <vt:i4>5</vt:i4>
      </vt:variant>
      <vt:variant>
        <vt:lpwstr>https://mvlwb.com/sites/default/files/mvlwb_engagement_guidelines_for_holders_of_lups_and_wls_-_october_2_19.pdf</vt:lpwstr>
      </vt:variant>
      <vt:variant>
        <vt:lpwstr/>
      </vt:variant>
      <vt:variant>
        <vt:i4>5832799</vt:i4>
      </vt:variant>
      <vt:variant>
        <vt:i4>183</vt:i4>
      </vt:variant>
      <vt:variant>
        <vt:i4>0</vt:i4>
      </vt:variant>
      <vt:variant>
        <vt:i4>5</vt:i4>
      </vt:variant>
      <vt:variant>
        <vt:lpwstr>https://mvlwb.com/sites/default/files/mvlwb_engagement_and_consultation_policy_-_nov_25_19.pdf</vt:lpwstr>
      </vt:variant>
      <vt:variant>
        <vt:lpwstr/>
      </vt:variant>
      <vt:variant>
        <vt:i4>393285</vt:i4>
      </vt:variant>
      <vt:variant>
        <vt:i4>180</vt:i4>
      </vt:variant>
      <vt:variant>
        <vt:i4>0</vt:i4>
      </vt:variant>
      <vt:variant>
        <vt:i4>5</vt:i4>
      </vt:variant>
      <vt:variant>
        <vt:lpwstr>https://mvlwb.com/sites/default/files/2020-09/lwb_guide_to_the_water_licensing_process_-_final_-_sep_16_20.pdf</vt:lpwstr>
      </vt:variant>
      <vt:variant>
        <vt:lpwstr/>
      </vt:variant>
      <vt:variant>
        <vt:i4>327788</vt:i4>
      </vt:variant>
      <vt:variant>
        <vt:i4>177</vt:i4>
      </vt:variant>
      <vt:variant>
        <vt:i4>0</vt:i4>
      </vt:variant>
      <vt:variant>
        <vt:i4>5</vt:i4>
      </vt:variant>
      <vt:variant>
        <vt:lpwstr>https://mvlwb.com/sites/default/files/aemp_guidelines_-_mar_5_19.pdf</vt:lpwstr>
      </vt:variant>
      <vt:variant>
        <vt:lpwstr/>
      </vt:variant>
      <vt:variant>
        <vt:i4>5308521</vt:i4>
      </vt:variant>
      <vt:variant>
        <vt:i4>174</vt:i4>
      </vt:variant>
      <vt:variant>
        <vt:i4>0</vt:i4>
      </vt:variant>
      <vt:variant>
        <vt:i4>5</vt:i4>
      </vt:variant>
      <vt:variant>
        <vt:lpwstr>https://mvlwb.com/sites/default/files/images/Guidelines/Guidelines for Effluent Mixing Zones - Final Draft - June 2017_EDIT9.pdf</vt:lpwstr>
      </vt:variant>
      <vt:variant>
        <vt:lpwstr/>
      </vt:variant>
      <vt:variant>
        <vt:i4>5308521</vt:i4>
      </vt:variant>
      <vt:variant>
        <vt:i4>171</vt:i4>
      </vt:variant>
      <vt:variant>
        <vt:i4>0</vt:i4>
      </vt:variant>
      <vt:variant>
        <vt:i4>5</vt:i4>
      </vt:variant>
      <vt:variant>
        <vt:lpwstr>https://mvlwb.com/sites/default/files/images/Guidelines/Guidelines for Effluent Mixing Zones - Final Draft - June 2017_EDIT9.pdf</vt:lpwstr>
      </vt:variant>
      <vt:variant>
        <vt:lpwstr/>
      </vt:variant>
      <vt:variant>
        <vt:i4>2359301</vt:i4>
      </vt:variant>
      <vt:variant>
        <vt:i4>168</vt:i4>
      </vt:variant>
      <vt:variant>
        <vt:i4>0</vt:i4>
      </vt:variant>
      <vt:variant>
        <vt:i4>5</vt:i4>
      </vt:variant>
      <vt:variant>
        <vt:lpwstr/>
      </vt:variant>
      <vt:variant>
        <vt:lpwstr>_Information_Required_to</vt:lpwstr>
      </vt:variant>
      <vt:variant>
        <vt:i4>7340032</vt:i4>
      </vt:variant>
      <vt:variant>
        <vt:i4>165</vt:i4>
      </vt:variant>
      <vt:variant>
        <vt:i4>0</vt:i4>
      </vt:variant>
      <vt:variant>
        <vt:i4>5</vt:i4>
      </vt:variant>
      <vt:variant>
        <vt:lpwstr>https://mvlwb.com/sites/default/files/guidelines_for_spill_contingency_planning_2007.pdf</vt:lpwstr>
      </vt:variant>
      <vt:variant>
        <vt:lpwstr/>
      </vt:variant>
      <vt:variant>
        <vt:i4>2490371</vt:i4>
      </vt:variant>
      <vt:variant>
        <vt:i4>162</vt:i4>
      </vt:variant>
      <vt:variant>
        <vt:i4>0</vt:i4>
      </vt:variant>
      <vt:variant>
        <vt:i4>5</vt:i4>
      </vt:variant>
      <vt:variant>
        <vt:lpwstr>https://mvlwb.com/sites/default/files/documents/MVLWB-Guidelines-for-Developing-a-Waste-Management-Plan-Mar-31_11-JCWG.pdf</vt:lpwstr>
      </vt:variant>
      <vt:variant>
        <vt:lpwstr/>
      </vt:variant>
      <vt:variant>
        <vt:i4>2490371</vt:i4>
      </vt:variant>
      <vt:variant>
        <vt:i4>159</vt:i4>
      </vt:variant>
      <vt:variant>
        <vt:i4>0</vt:i4>
      </vt:variant>
      <vt:variant>
        <vt:i4>5</vt:i4>
      </vt:variant>
      <vt:variant>
        <vt:lpwstr>https://mvlwb.com/sites/default/files/documents/MVLWB-Guidelines-for-Developing-a-Waste-Management-Plan-Mar-31_11-JCWG.pdf</vt:lpwstr>
      </vt:variant>
      <vt:variant>
        <vt:lpwstr/>
      </vt:variant>
      <vt:variant>
        <vt:i4>7471204</vt:i4>
      </vt:variant>
      <vt:variant>
        <vt:i4>153</vt:i4>
      </vt:variant>
      <vt:variant>
        <vt:i4>0</vt:i4>
      </vt:variant>
      <vt:variant>
        <vt:i4>5</vt:i4>
      </vt:variant>
      <vt:variant>
        <vt:lpwstr>https://mvlwb.com/sites/default/files/mvlwb_engagement_policy_-_information_for_proponents_-_mar_2_20.pdf</vt:lpwstr>
      </vt:variant>
      <vt:variant>
        <vt:lpwstr/>
      </vt:variant>
      <vt:variant>
        <vt:i4>786503</vt:i4>
      </vt:variant>
      <vt:variant>
        <vt:i4>150</vt:i4>
      </vt:variant>
      <vt:variant>
        <vt:i4>0</vt:i4>
      </vt:variant>
      <vt:variant>
        <vt:i4>5</vt:i4>
      </vt:variant>
      <vt:variant>
        <vt:lpwstr>https://mvlwb.com/sites/default/files/mvlwb_engagement_guidelines_for_holders_of_lups_and_wls_-_october_2_19.pdf</vt:lpwstr>
      </vt:variant>
      <vt:variant>
        <vt:lpwstr/>
      </vt:variant>
      <vt:variant>
        <vt:i4>5832799</vt:i4>
      </vt:variant>
      <vt:variant>
        <vt:i4>147</vt:i4>
      </vt:variant>
      <vt:variant>
        <vt:i4>0</vt:i4>
      </vt:variant>
      <vt:variant>
        <vt:i4>5</vt:i4>
      </vt:variant>
      <vt:variant>
        <vt:lpwstr>https://mvlwb.com/sites/default/files/mvlwb_engagement_and_consultation_policy_-_nov_25_19.pdf</vt:lpwstr>
      </vt:variant>
      <vt:variant>
        <vt:lpwstr/>
      </vt:variant>
      <vt:variant>
        <vt:i4>1769536</vt:i4>
      </vt:variant>
      <vt:variant>
        <vt:i4>144</vt:i4>
      </vt:variant>
      <vt:variant>
        <vt:i4>0</vt:i4>
      </vt:variant>
      <vt:variant>
        <vt:i4>5</vt:i4>
      </vt:variant>
      <vt:variant>
        <vt:lpwstr>https://mvlwb.com/resources/resources-municipalities</vt:lpwstr>
      </vt:variant>
      <vt:variant>
        <vt:lpwstr/>
      </vt:variant>
      <vt:variant>
        <vt:i4>3932244</vt:i4>
      </vt:variant>
      <vt:variant>
        <vt:i4>141</vt:i4>
      </vt:variant>
      <vt:variant>
        <vt:i4>0</vt:i4>
      </vt:variant>
      <vt:variant>
        <vt:i4>5</vt:i4>
      </vt:variant>
      <vt:variant>
        <vt:lpwstr>https://mvlwb.com/sites/default/files/wlwb_5363_guidelines_closure_reclamation_wr.pdf</vt:lpwstr>
      </vt:variant>
      <vt:variant>
        <vt:lpwstr/>
      </vt:variant>
      <vt:variant>
        <vt:i4>786557</vt:i4>
      </vt:variant>
      <vt:variant>
        <vt:i4>138</vt:i4>
      </vt:variant>
      <vt:variant>
        <vt:i4>0</vt:i4>
      </vt:variant>
      <vt:variant>
        <vt:i4>5</vt:i4>
      </vt:variant>
      <vt:variant>
        <vt:lpwstr>https://mvlwb.com/sites/default/files/guideline_for_petroleum_hydrocarbon_contaminated_soil_treatment_facilities_in_the_northwest_territories_-_final_-_jan_10_20.pdf</vt:lpwstr>
      </vt:variant>
      <vt:variant>
        <vt:lpwstr/>
      </vt:variant>
      <vt:variant>
        <vt:i4>327788</vt:i4>
      </vt:variant>
      <vt:variant>
        <vt:i4>135</vt:i4>
      </vt:variant>
      <vt:variant>
        <vt:i4>0</vt:i4>
      </vt:variant>
      <vt:variant>
        <vt:i4>5</vt:i4>
      </vt:variant>
      <vt:variant>
        <vt:lpwstr>https://mvlwb.com/sites/default/files/aemp_guidelines_-_mar_5_19.pdf</vt:lpwstr>
      </vt:variant>
      <vt:variant>
        <vt:lpwstr/>
      </vt:variant>
      <vt:variant>
        <vt:i4>5308521</vt:i4>
      </vt:variant>
      <vt:variant>
        <vt:i4>132</vt:i4>
      </vt:variant>
      <vt:variant>
        <vt:i4>0</vt:i4>
      </vt:variant>
      <vt:variant>
        <vt:i4>5</vt:i4>
      </vt:variant>
      <vt:variant>
        <vt:lpwstr>https://mvlwb.com/sites/default/files/images/Guidelines/Guidelines for Effluent Mixing Zones - Final Draft - June 2017_EDIT9.pdf</vt:lpwstr>
      </vt:variant>
      <vt:variant>
        <vt:lpwstr/>
      </vt:variant>
      <vt:variant>
        <vt:i4>2490371</vt:i4>
      </vt:variant>
      <vt:variant>
        <vt:i4>129</vt:i4>
      </vt:variant>
      <vt:variant>
        <vt:i4>0</vt:i4>
      </vt:variant>
      <vt:variant>
        <vt:i4>5</vt:i4>
      </vt:variant>
      <vt:variant>
        <vt:lpwstr>https://mvlwb.com/sites/default/files/documents/MVLWB-Guidelines-for-Developing-a-Waste-Management-Plan-Mar-31_11-JCWG.pdf</vt:lpwstr>
      </vt:variant>
      <vt:variant>
        <vt:lpwstr/>
      </vt:variant>
      <vt:variant>
        <vt:i4>2555993</vt:i4>
      </vt:variant>
      <vt:variant>
        <vt:i4>126</vt:i4>
      </vt:variant>
      <vt:variant>
        <vt:i4>0</vt:i4>
      </vt:variant>
      <vt:variant>
        <vt:i4>5</vt:i4>
      </vt:variant>
      <vt:variant>
        <vt:lpwstr>https://mvlwb.com/sites/default/files/standard_water_licence_conditions_and_schedules_-_basic_-_apr_20_20.pdf</vt:lpwstr>
      </vt:variant>
      <vt:variant>
        <vt:lpwstr/>
      </vt:variant>
      <vt:variant>
        <vt:i4>393285</vt:i4>
      </vt:variant>
      <vt:variant>
        <vt:i4>123</vt:i4>
      </vt:variant>
      <vt:variant>
        <vt:i4>0</vt:i4>
      </vt:variant>
      <vt:variant>
        <vt:i4>5</vt:i4>
      </vt:variant>
      <vt:variant>
        <vt:lpwstr>https://mvlwb.com/sites/default/files/2020-09/lwb_guide_to_the_water_licensing_process_-_final_-_sep_16_20.pdf</vt:lpwstr>
      </vt:variant>
      <vt:variant>
        <vt:lpwstr/>
      </vt:variant>
      <vt:variant>
        <vt:i4>1638459</vt:i4>
      </vt:variant>
      <vt:variant>
        <vt:i4>116</vt:i4>
      </vt:variant>
      <vt:variant>
        <vt:i4>0</vt:i4>
      </vt:variant>
      <vt:variant>
        <vt:i4>5</vt:i4>
      </vt:variant>
      <vt:variant>
        <vt:lpwstr/>
      </vt:variant>
      <vt:variant>
        <vt:lpwstr>_Toc69396886</vt:lpwstr>
      </vt:variant>
      <vt:variant>
        <vt:i4>1835067</vt:i4>
      </vt:variant>
      <vt:variant>
        <vt:i4>110</vt:i4>
      </vt:variant>
      <vt:variant>
        <vt:i4>0</vt:i4>
      </vt:variant>
      <vt:variant>
        <vt:i4>5</vt:i4>
      </vt:variant>
      <vt:variant>
        <vt:lpwstr/>
      </vt:variant>
      <vt:variant>
        <vt:lpwstr>_Toc69396883</vt:lpwstr>
      </vt:variant>
      <vt:variant>
        <vt:i4>1900603</vt:i4>
      </vt:variant>
      <vt:variant>
        <vt:i4>104</vt:i4>
      </vt:variant>
      <vt:variant>
        <vt:i4>0</vt:i4>
      </vt:variant>
      <vt:variant>
        <vt:i4>5</vt:i4>
      </vt:variant>
      <vt:variant>
        <vt:lpwstr/>
      </vt:variant>
      <vt:variant>
        <vt:lpwstr>_Toc69396882</vt:lpwstr>
      </vt:variant>
      <vt:variant>
        <vt:i4>1966139</vt:i4>
      </vt:variant>
      <vt:variant>
        <vt:i4>98</vt:i4>
      </vt:variant>
      <vt:variant>
        <vt:i4>0</vt:i4>
      </vt:variant>
      <vt:variant>
        <vt:i4>5</vt:i4>
      </vt:variant>
      <vt:variant>
        <vt:lpwstr/>
      </vt:variant>
      <vt:variant>
        <vt:lpwstr>_Toc69396881</vt:lpwstr>
      </vt:variant>
      <vt:variant>
        <vt:i4>2031675</vt:i4>
      </vt:variant>
      <vt:variant>
        <vt:i4>92</vt:i4>
      </vt:variant>
      <vt:variant>
        <vt:i4>0</vt:i4>
      </vt:variant>
      <vt:variant>
        <vt:i4>5</vt:i4>
      </vt:variant>
      <vt:variant>
        <vt:lpwstr/>
      </vt:variant>
      <vt:variant>
        <vt:lpwstr>_Toc69396880</vt:lpwstr>
      </vt:variant>
      <vt:variant>
        <vt:i4>1507380</vt:i4>
      </vt:variant>
      <vt:variant>
        <vt:i4>86</vt:i4>
      </vt:variant>
      <vt:variant>
        <vt:i4>0</vt:i4>
      </vt:variant>
      <vt:variant>
        <vt:i4>5</vt:i4>
      </vt:variant>
      <vt:variant>
        <vt:lpwstr/>
      </vt:variant>
      <vt:variant>
        <vt:lpwstr>_Toc69396878</vt:lpwstr>
      </vt:variant>
      <vt:variant>
        <vt:i4>1572916</vt:i4>
      </vt:variant>
      <vt:variant>
        <vt:i4>80</vt:i4>
      </vt:variant>
      <vt:variant>
        <vt:i4>0</vt:i4>
      </vt:variant>
      <vt:variant>
        <vt:i4>5</vt:i4>
      </vt:variant>
      <vt:variant>
        <vt:lpwstr/>
      </vt:variant>
      <vt:variant>
        <vt:lpwstr>_Toc69396877</vt:lpwstr>
      </vt:variant>
      <vt:variant>
        <vt:i4>1638452</vt:i4>
      </vt:variant>
      <vt:variant>
        <vt:i4>74</vt:i4>
      </vt:variant>
      <vt:variant>
        <vt:i4>0</vt:i4>
      </vt:variant>
      <vt:variant>
        <vt:i4>5</vt:i4>
      </vt:variant>
      <vt:variant>
        <vt:lpwstr/>
      </vt:variant>
      <vt:variant>
        <vt:lpwstr>_Toc69396876</vt:lpwstr>
      </vt:variant>
      <vt:variant>
        <vt:i4>1703988</vt:i4>
      </vt:variant>
      <vt:variant>
        <vt:i4>68</vt:i4>
      </vt:variant>
      <vt:variant>
        <vt:i4>0</vt:i4>
      </vt:variant>
      <vt:variant>
        <vt:i4>5</vt:i4>
      </vt:variant>
      <vt:variant>
        <vt:lpwstr/>
      </vt:variant>
      <vt:variant>
        <vt:lpwstr>_Toc69396875</vt:lpwstr>
      </vt:variant>
      <vt:variant>
        <vt:i4>1769524</vt:i4>
      </vt:variant>
      <vt:variant>
        <vt:i4>62</vt:i4>
      </vt:variant>
      <vt:variant>
        <vt:i4>0</vt:i4>
      </vt:variant>
      <vt:variant>
        <vt:i4>5</vt:i4>
      </vt:variant>
      <vt:variant>
        <vt:lpwstr/>
      </vt:variant>
      <vt:variant>
        <vt:lpwstr>_Toc69396874</vt:lpwstr>
      </vt:variant>
      <vt:variant>
        <vt:i4>1835060</vt:i4>
      </vt:variant>
      <vt:variant>
        <vt:i4>56</vt:i4>
      </vt:variant>
      <vt:variant>
        <vt:i4>0</vt:i4>
      </vt:variant>
      <vt:variant>
        <vt:i4>5</vt:i4>
      </vt:variant>
      <vt:variant>
        <vt:lpwstr/>
      </vt:variant>
      <vt:variant>
        <vt:lpwstr>_Toc69396873</vt:lpwstr>
      </vt:variant>
      <vt:variant>
        <vt:i4>1900596</vt:i4>
      </vt:variant>
      <vt:variant>
        <vt:i4>50</vt:i4>
      </vt:variant>
      <vt:variant>
        <vt:i4>0</vt:i4>
      </vt:variant>
      <vt:variant>
        <vt:i4>5</vt:i4>
      </vt:variant>
      <vt:variant>
        <vt:lpwstr/>
      </vt:variant>
      <vt:variant>
        <vt:lpwstr>_Toc69396872</vt:lpwstr>
      </vt:variant>
      <vt:variant>
        <vt:i4>1966132</vt:i4>
      </vt:variant>
      <vt:variant>
        <vt:i4>44</vt:i4>
      </vt:variant>
      <vt:variant>
        <vt:i4>0</vt:i4>
      </vt:variant>
      <vt:variant>
        <vt:i4>5</vt:i4>
      </vt:variant>
      <vt:variant>
        <vt:lpwstr/>
      </vt:variant>
      <vt:variant>
        <vt:lpwstr>_Toc69396871</vt:lpwstr>
      </vt:variant>
      <vt:variant>
        <vt:i4>2031668</vt:i4>
      </vt:variant>
      <vt:variant>
        <vt:i4>38</vt:i4>
      </vt:variant>
      <vt:variant>
        <vt:i4>0</vt:i4>
      </vt:variant>
      <vt:variant>
        <vt:i4>5</vt:i4>
      </vt:variant>
      <vt:variant>
        <vt:lpwstr/>
      </vt:variant>
      <vt:variant>
        <vt:lpwstr>_Toc69396870</vt:lpwstr>
      </vt:variant>
      <vt:variant>
        <vt:i4>1441845</vt:i4>
      </vt:variant>
      <vt:variant>
        <vt:i4>32</vt:i4>
      </vt:variant>
      <vt:variant>
        <vt:i4>0</vt:i4>
      </vt:variant>
      <vt:variant>
        <vt:i4>5</vt:i4>
      </vt:variant>
      <vt:variant>
        <vt:lpwstr/>
      </vt:variant>
      <vt:variant>
        <vt:lpwstr>_Toc69396869</vt:lpwstr>
      </vt:variant>
      <vt:variant>
        <vt:i4>1507381</vt:i4>
      </vt:variant>
      <vt:variant>
        <vt:i4>26</vt:i4>
      </vt:variant>
      <vt:variant>
        <vt:i4>0</vt:i4>
      </vt:variant>
      <vt:variant>
        <vt:i4>5</vt:i4>
      </vt:variant>
      <vt:variant>
        <vt:lpwstr/>
      </vt:variant>
      <vt:variant>
        <vt:lpwstr>_Toc69396868</vt:lpwstr>
      </vt:variant>
      <vt:variant>
        <vt:i4>1572917</vt:i4>
      </vt:variant>
      <vt:variant>
        <vt:i4>20</vt:i4>
      </vt:variant>
      <vt:variant>
        <vt:i4>0</vt:i4>
      </vt:variant>
      <vt:variant>
        <vt:i4>5</vt:i4>
      </vt:variant>
      <vt:variant>
        <vt:lpwstr/>
      </vt:variant>
      <vt:variant>
        <vt:lpwstr>_Toc69396867</vt:lpwstr>
      </vt:variant>
      <vt:variant>
        <vt:i4>1638453</vt:i4>
      </vt:variant>
      <vt:variant>
        <vt:i4>14</vt:i4>
      </vt:variant>
      <vt:variant>
        <vt:i4>0</vt:i4>
      </vt:variant>
      <vt:variant>
        <vt:i4>5</vt:i4>
      </vt:variant>
      <vt:variant>
        <vt:lpwstr/>
      </vt:variant>
      <vt:variant>
        <vt:lpwstr>_Toc69396866</vt:lpwstr>
      </vt:variant>
      <vt:variant>
        <vt:i4>1703989</vt:i4>
      </vt:variant>
      <vt:variant>
        <vt:i4>8</vt:i4>
      </vt:variant>
      <vt:variant>
        <vt:i4>0</vt:i4>
      </vt:variant>
      <vt:variant>
        <vt:i4>5</vt:i4>
      </vt:variant>
      <vt:variant>
        <vt:lpwstr/>
      </vt:variant>
      <vt:variant>
        <vt:lpwstr>_Toc69396865</vt:lpwstr>
      </vt:variant>
      <vt:variant>
        <vt:i4>1769525</vt:i4>
      </vt:variant>
      <vt:variant>
        <vt:i4>2</vt:i4>
      </vt:variant>
      <vt:variant>
        <vt:i4>0</vt:i4>
      </vt:variant>
      <vt:variant>
        <vt:i4>5</vt:i4>
      </vt:variant>
      <vt:variant>
        <vt:lpwstr/>
      </vt:variant>
      <vt:variant>
        <vt:lpwstr>_Toc69396864</vt:lpwstr>
      </vt:variant>
      <vt:variant>
        <vt:i4>5374020</vt:i4>
      </vt:variant>
      <vt:variant>
        <vt:i4>24</vt:i4>
      </vt:variant>
      <vt:variant>
        <vt:i4>0</vt:i4>
      </vt:variant>
      <vt:variant>
        <vt:i4>5</vt:i4>
      </vt:variant>
      <vt:variant>
        <vt:lpwstr>https://reviewboard.ca/file/1132/download?token=c5tFrEqL</vt:lpwstr>
      </vt:variant>
      <vt:variant>
        <vt:lpwstr/>
      </vt:variant>
      <vt:variant>
        <vt:i4>3670053</vt:i4>
      </vt:variant>
      <vt:variant>
        <vt:i4>21</vt:i4>
      </vt:variant>
      <vt:variant>
        <vt:i4>0</vt:i4>
      </vt:variant>
      <vt:variant>
        <vt:i4>5</vt:i4>
      </vt:variant>
      <vt:variant>
        <vt:lpwstr>https://reviewboard.ca/</vt:lpwstr>
      </vt:variant>
      <vt:variant>
        <vt:lpwstr/>
      </vt:variant>
      <vt:variant>
        <vt:i4>5242979</vt:i4>
      </vt:variant>
      <vt:variant>
        <vt:i4>18</vt:i4>
      </vt:variant>
      <vt:variant>
        <vt:i4>0</vt:i4>
      </vt:variant>
      <vt:variant>
        <vt:i4>5</vt:i4>
      </vt:variant>
      <vt:variant>
        <vt:lpwstr>https://glwb.com/sites/default/files/documents/NWT_Water_Stewardship_Strategy.pdf</vt:lpwstr>
      </vt:variant>
      <vt:variant>
        <vt:lpwstr/>
      </vt:variant>
      <vt:variant>
        <vt:i4>6946870</vt:i4>
      </vt:variant>
      <vt:variant>
        <vt:i4>15</vt:i4>
      </vt:variant>
      <vt:variant>
        <vt:i4>0</vt:i4>
      </vt:variant>
      <vt:variant>
        <vt:i4>5</vt:i4>
      </vt:variant>
      <vt:variant>
        <vt:lpwstr>https://www.nwtwaterstewardship.ca/</vt:lpwstr>
      </vt:variant>
      <vt:variant>
        <vt:lpwstr/>
      </vt:variant>
      <vt:variant>
        <vt:i4>5439503</vt:i4>
      </vt:variant>
      <vt:variant>
        <vt:i4>12</vt:i4>
      </vt:variant>
      <vt:variant>
        <vt:i4>0</vt:i4>
      </vt:variant>
      <vt:variant>
        <vt:i4>5</vt:i4>
      </vt:variant>
      <vt:variant>
        <vt:lpwstr>https://wlwb.ca/</vt:lpwstr>
      </vt:variant>
      <vt:variant>
        <vt:lpwstr/>
      </vt:variant>
      <vt:variant>
        <vt:i4>4259920</vt:i4>
      </vt:variant>
      <vt:variant>
        <vt:i4>9</vt:i4>
      </vt:variant>
      <vt:variant>
        <vt:i4>0</vt:i4>
      </vt:variant>
      <vt:variant>
        <vt:i4>5</vt:i4>
      </vt:variant>
      <vt:variant>
        <vt:lpwstr>http://www.slwb.com/</vt:lpwstr>
      </vt:variant>
      <vt:variant>
        <vt:lpwstr/>
      </vt:variant>
      <vt:variant>
        <vt:i4>8257581</vt:i4>
      </vt:variant>
      <vt:variant>
        <vt:i4>6</vt:i4>
      </vt:variant>
      <vt:variant>
        <vt:i4>0</vt:i4>
      </vt:variant>
      <vt:variant>
        <vt:i4>5</vt:i4>
      </vt:variant>
      <vt:variant>
        <vt:lpwstr>https://mvlwb.com/</vt:lpwstr>
      </vt:variant>
      <vt:variant>
        <vt:lpwstr/>
      </vt:variant>
      <vt:variant>
        <vt:i4>5570640</vt:i4>
      </vt:variant>
      <vt:variant>
        <vt:i4>3</vt:i4>
      </vt:variant>
      <vt:variant>
        <vt:i4>0</vt:i4>
      </vt:variant>
      <vt:variant>
        <vt:i4>5</vt:i4>
      </vt:variant>
      <vt:variant>
        <vt:lpwstr>http://www.glwb.com/</vt:lpwstr>
      </vt:variant>
      <vt:variant>
        <vt:lpwstr/>
      </vt:variant>
      <vt:variant>
        <vt:i4>2555993</vt:i4>
      </vt:variant>
      <vt:variant>
        <vt:i4>0</vt:i4>
      </vt:variant>
      <vt:variant>
        <vt:i4>0</vt:i4>
      </vt:variant>
      <vt:variant>
        <vt:i4>5</vt:i4>
      </vt:variant>
      <vt:variant>
        <vt:lpwstr>https://mvlwb.com/sites/default/files/standard_water_licence_conditions_and_schedules_-_basic_-_apr_20_20.pdf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Cymbalisty</dc:creator>
  <cp:keywords/>
  <dc:description/>
  <cp:lastModifiedBy>Shalyn</cp:lastModifiedBy>
  <cp:revision>2</cp:revision>
  <cp:lastPrinted>2021-06-16T17:53:00Z</cp:lastPrinted>
  <dcterms:created xsi:type="dcterms:W3CDTF">2022-02-28T20:06:00Z</dcterms:created>
  <dcterms:modified xsi:type="dcterms:W3CDTF">2022-02-28T20:06:00Z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0x01010014E13A1328FA5E419C326E46BC5F49F3</vt:lpwstr>
  </property>
</Properties>
</file>