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3A3FB" w14:textId="77777777" w:rsidR="001B3BAE" w:rsidRDefault="001B3BAE"/>
    <w:p w14:paraId="7B869FC8" w14:textId="77777777" w:rsidR="00E6304D" w:rsidRDefault="00E6304D">
      <w:r>
        <w:rPr>
          <w:noProof/>
        </w:rPr>
        <w:drawing>
          <wp:inline distT="0" distB="0" distL="0" distR="0" wp14:anchorId="6F11BEC6" wp14:editId="16D0A3F9">
            <wp:extent cx="5944235" cy="229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2292350"/>
                    </a:xfrm>
                    <a:prstGeom prst="rect">
                      <a:avLst/>
                    </a:prstGeom>
                    <a:noFill/>
                  </pic:spPr>
                </pic:pic>
              </a:graphicData>
            </a:graphic>
          </wp:inline>
        </w:drawing>
      </w:r>
    </w:p>
    <w:p w14:paraId="76ACC66C" w14:textId="77777777" w:rsidR="00E6304D" w:rsidRDefault="00E6304D"/>
    <w:p w14:paraId="5D45065B" w14:textId="77777777" w:rsidR="00E6304D" w:rsidRPr="00E6304D" w:rsidRDefault="00E6304D">
      <w:pPr>
        <w:rPr>
          <w:b/>
          <w:bCs/>
        </w:rPr>
      </w:pPr>
      <w:r>
        <w:rPr>
          <w:noProof/>
          <w:lang w:eastAsia="en-CA"/>
        </w:rPr>
        <w:drawing>
          <wp:anchor distT="0" distB="0" distL="114300" distR="114300" simplePos="0" relativeHeight="251659264" behindDoc="1" locked="0" layoutInCell="1" allowOverlap="1" wp14:anchorId="5D2F4C9D" wp14:editId="7A9B15F9">
            <wp:simplePos x="0" y="0"/>
            <wp:positionH relativeFrom="margin">
              <wp:align>center</wp:align>
            </wp:positionH>
            <wp:positionV relativeFrom="paragraph">
              <wp:posOffset>121285</wp:posOffset>
            </wp:positionV>
            <wp:extent cx="1751330" cy="1085850"/>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33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11CB44" w14:textId="77777777" w:rsidR="00E6304D" w:rsidRDefault="00E6304D"/>
    <w:p w14:paraId="11AFD35C" w14:textId="77777777" w:rsidR="00E6304D" w:rsidRDefault="00E6304D"/>
    <w:p w14:paraId="214C3A3A" w14:textId="77777777" w:rsidR="00E6304D" w:rsidRDefault="00E6304D"/>
    <w:p w14:paraId="046299B1" w14:textId="77777777" w:rsidR="00E6304D" w:rsidRDefault="00E6304D"/>
    <w:p w14:paraId="55AECDE0" w14:textId="77777777" w:rsidR="00E6304D" w:rsidRDefault="00E6304D"/>
    <w:p w14:paraId="2E1CFB85" w14:textId="77777777" w:rsidR="00E6304D" w:rsidRDefault="00E6304D" w:rsidP="00E6304D">
      <w:pPr>
        <w:pStyle w:val="TitlePage-title"/>
        <w:rPr>
          <w:b/>
          <w:bCs/>
          <w:sz w:val="52"/>
          <w:szCs w:val="52"/>
        </w:rPr>
      </w:pPr>
      <w:bookmarkStart w:id="0" w:name="_Hlk38890509"/>
      <w:r>
        <w:rPr>
          <w:b/>
          <w:bCs/>
          <w:sz w:val="52"/>
          <w:szCs w:val="52"/>
        </w:rPr>
        <w:t xml:space="preserve">Method for Determining Available </w:t>
      </w:r>
      <w:r w:rsidRPr="00C432D4">
        <w:rPr>
          <w:b/>
          <w:bCs/>
          <w:sz w:val="52"/>
          <w:szCs w:val="52"/>
        </w:rPr>
        <w:t xml:space="preserve">Winter Water Volumes for </w:t>
      </w:r>
      <w:r>
        <w:rPr>
          <w:b/>
          <w:bCs/>
          <w:sz w:val="52"/>
          <w:szCs w:val="52"/>
        </w:rPr>
        <w:t>Small-Scale Projects</w:t>
      </w:r>
    </w:p>
    <w:bookmarkEnd w:id="0"/>
    <w:p w14:paraId="28E9DB6F" w14:textId="77777777" w:rsidR="00E6304D" w:rsidRDefault="00E6304D" w:rsidP="00E6304D">
      <w:pPr>
        <w:pStyle w:val="TitlePage-title"/>
        <w:rPr>
          <w:b/>
          <w:bCs/>
          <w:color w:val="000000" w:themeColor="text1"/>
          <w:sz w:val="28"/>
          <w:szCs w:val="28"/>
        </w:rPr>
      </w:pPr>
    </w:p>
    <w:p w14:paraId="2E93FB0E" w14:textId="77777777" w:rsidR="00E6304D" w:rsidRPr="00C432D4" w:rsidRDefault="00E6304D" w:rsidP="00E6304D">
      <w:pPr>
        <w:pStyle w:val="TitlePage-title"/>
        <w:rPr>
          <w:b/>
          <w:bCs/>
          <w:color w:val="000000" w:themeColor="text1"/>
          <w:sz w:val="28"/>
          <w:szCs w:val="28"/>
        </w:rPr>
      </w:pPr>
      <w:r>
        <w:rPr>
          <w:b/>
          <w:bCs/>
          <w:color w:val="000000" w:themeColor="text1"/>
          <w:sz w:val="28"/>
          <w:szCs w:val="28"/>
        </w:rPr>
        <w:t>April 27</w:t>
      </w:r>
      <w:r w:rsidRPr="00C432D4">
        <w:rPr>
          <w:b/>
          <w:bCs/>
          <w:color w:val="000000" w:themeColor="text1"/>
          <w:sz w:val="28"/>
          <w:szCs w:val="28"/>
        </w:rPr>
        <w:t xml:space="preserve">, 2020 </w:t>
      </w:r>
    </w:p>
    <w:p w14:paraId="7E1317BB" w14:textId="77777777" w:rsidR="00E6304D" w:rsidRDefault="00E6304D"/>
    <w:p w14:paraId="3D82645C" w14:textId="77777777" w:rsidR="00E6304D" w:rsidRDefault="00E6304D"/>
    <w:p w14:paraId="4E50E7FA" w14:textId="77777777" w:rsidR="00E6304D" w:rsidRDefault="00E6304D"/>
    <w:p w14:paraId="10E03166" w14:textId="77777777" w:rsidR="00E6304D" w:rsidRDefault="00E6304D"/>
    <w:p w14:paraId="03D3C5CA" w14:textId="77777777" w:rsidR="00E6304D" w:rsidRDefault="00E6304D"/>
    <w:p w14:paraId="6E577E8B" w14:textId="77777777" w:rsidR="00E6304D" w:rsidRDefault="00E6304D"/>
    <w:p w14:paraId="27CBFDCB" w14:textId="77777777" w:rsidR="00E6304D" w:rsidRPr="0090786A" w:rsidRDefault="00E6304D" w:rsidP="00E6304D">
      <w:pPr>
        <w:rPr>
          <w:rFonts w:cstheme="minorHAnsi"/>
          <w:b/>
          <w:bCs/>
        </w:rPr>
      </w:pPr>
      <w:r w:rsidRPr="0090786A">
        <w:rPr>
          <w:rFonts w:cstheme="minorHAnsi"/>
          <w:b/>
          <w:bCs/>
        </w:rPr>
        <w:lastRenderedPageBreak/>
        <w:t xml:space="preserve">Introduction </w:t>
      </w:r>
    </w:p>
    <w:p w14:paraId="57D417E1" w14:textId="77777777" w:rsidR="00E6304D" w:rsidRDefault="00E6304D" w:rsidP="00E6304D">
      <w:pPr>
        <w:autoSpaceDE w:val="0"/>
        <w:autoSpaceDN w:val="0"/>
        <w:adjustRightInd w:val="0"/>
        <w:spacing w:after="240"/>
        <w:rPr>
          <w:rFonts w:cstheme="minorHAnsi"/>
          <w:bCs/>
          <w:color w:val="000000"/>
        </w:rPr>
      </w:pPr>
      <w:r w:rsidRPr="0090786A">
        <w:rPr>
          <w:rFonts w:cstheme="minorHAnsi"/>
          <w:bCs/>
          <w:color w:val="000000"/>
        </w:rPr>
        <w:t>The Land and Water Boards of the Mackenzie Valley (Boards) regulate the use of land and water and the deposit of waste within the Mackenzie Valley</w:t>
      </w:r>
      <w:r>
        <w:rPr>
          <w:rFonts w:cstheme="minorHAnsi"/>
          <w:bCs/>
          <w:color w:val="000000"/>
        </w:rPr>
        <w:t xml:space="preserve"> through the issuance of land use permits and water licences</w:t>
      </w:r>
      <w:r w:rsidRPr="0090786A">
        <w:rPr>
          <w:rFonts w:cstheme="minorHAnsi"/>
          <w:bCs/>
          <w:color w:val="000000"/>
        </w:rPr>
        <w:t xml:space="preserve">. In order to ensure proposed water uses would not adversely affect existing users or the environment, the Boards require information regarding proposed water sources, including the location, timing, and proposed volume of water to be used. An existing </w:t>
      </w:r>
      <w:r>
        <w:rPr>
          <w:rFonts w:cstheme="minorHAnsi"/>
          <w:bCs/>
          <w:color w:val="000000"/>
        </w:rPr>
        <w:t xml:space="preserve">Fisheries and Oceans Canada (DFO) </w:t>
      </w:r>
      <w:r w:rsidRPr="0090786A">
        <w:rPr>
          <w:rFonts w:cstheme="minorHAnsi"/>
          <w:bCs/>
          <w:color w:val="000000"/>
        </w:rPr>
        <w:t xml:space="preserve">Protocol </w:t>
      </w:r>
      <w:r w:rsidRPr="00E411FA">
        <w:rPr>
          <w:rFonts w:cstheme="minorHAnsi"/>
          <w:bCs/>
          <w:color w:val="000000"/>
        </w:rPr>
        <w:t xml:space="preserve">for Winter Water Withdrawal from Ice-covered Waterbodies in the Northwest Territories and Nunavut </w:t>
      </w:r>
      <w:r>
        <w:rPr>
          <w:rFonts w:cstheme="minorHAnsi"/>
          <w:bCs/>
          <w:color w:val="000000"/>
        </w:rPr>
        <w:t>(the DFO Protocol)</w:t>
      </w:r>
      <w:r w:rsidRPr="0090786A">
        <w:rPr>
          <w:rFonts w:cstheme="minorHAnsi"/>
          <w:bCs/>
          <w:color w:val="000000"/>
        </w:rPr>
        <w:t xml:space="preserve"> </w:t>
      </w:r>
      <w:r>
        <w:rPr>
          <w:rFonts w:cstheme="minorHAnsi"/>
          <w:bCs/>
          <w:color w:val="000000"/>
        </w:rPr>
        <w:t xml:space="preserve">developed in 2010 </w:t>
      </w:r>
      <w:r w:rsidRPr="0090786A">
        <w:rPr>
          <w:rFonts w:cstheme="minorHAnsi"/>
          <w:bCs/>
          <w:color w:val="000000"/>
        </w:rPr>
        <w:t xml:space="preserve">requires water users to complete bathymetric surveys </w:t>
      </w:r>
      <w:r>
        <w:rPr>
          <w:rFonts w:cstheme="minorHAnsi"/>
          <w:bCs/>
          <w:color w:val="000000"/>
        </w:rPr>
        <w:t xml:space="preserve">of most water bodies </w:t>
      </w:r>
      <w:r w:rsidRPr="0090786A">
        <w:rPr>
          <w:rFonts w:cstheme="minorHAnsi"/>
          <w:bCs/>
          <w:color w:val="000000"/>
        </w:rPr>
        <w:t xml:space="preserve">to calculate under-ice water volumes prior to determining </w:t>
      </w:r>
      <w:r>
        <w:rPr>
          <w:rFonts w:cstheme="minorHAnsi"/>
          <w:bCs/>
          <w:color w:val="000000"/>
        </w:rPr>
        <w:t>acceptable</w:t>
      </w:r>
      <w:r w:rsidRPr="0090786A">
        <w:rPr>
          <w:rFonts w:cstheme="minorHAnsi"/>
          <w:bCs/>
          <w:color w:val="000000"/>
        </w:rPr>
        <w:t xml:space="preserve"> winter water use limits</w:t>
      </w:r>
      <w:r>
        <w:rPr>
          <w:rFonts w:cstheme="minorHAnsi"/>
          <w:bCs/>
          <w:color w:val="000000"/>
        </w:rPr>
        <w:t xml:space="preserve">, i.e., no more than </w:t>
      </w:r>
      <w:r w:rsidRPr="0090786A">
        <w:rPr>
          <w:rFonts w:cstheme="minorHAnsi"/>
          <w:bCs/>
          <w:color w:val="000000"/>
        </w:rPr>
        <w:t xml:space="preserve">10% </w:t>
      </w:r>
      <w:r>
        <w:rPr>
          <w:rFonts w:cstheme="minorHAnsi"/>
          <w:bCs/>
          <w:color w:val="000000"/>
        </w:rPr>
        <w:t xml:space="preserve">of the </w:t>
      </w:r>
      <w:r w:rsidRPr="0090786A">
        <w:rPr>
          <w:rFonts w:cstheme="minorHAnsi"/>
          <w:bCs/>
          <w:color w:val="000000"/>
        </w:rPr>
        <w:t xml:space="preserve">total remaining </w:t>
      </w:r>
      <w:r>
        <w:rPr>
          <w:rFonts w:cstheme="minorHAnsi"/>
          <w:bCs/>
          <w:color w:val="000000"/>
        </w:rPr>
        <w:t xml:space="preserve">under-ice </w:t>
      </w:r>
      <w:r w:rsidRPr="0090786A">
        <w:rPr>
          <w:rFonts w:cstheme="minorHAnsi"/>
          <w:bCs/>
          <w:color w:val="000000"/>
        </w:rPr>
        <w:t xml:space="preserve">volume. </w:t>
      </w:r>
      <w:r w:rsidRPr="00E11770">
        <w:rPr>
          <w:rFonts w:cstheme="minorHAnsi"/>
          <w:bCs/>
          <w:color w:val="000000"/>
        </w:rPr>
        <w:t>This</w:t>
      </w:r>
      <w:r>
        <w:rPr>
          <w:rFonts w:cstheme="minorHAnsi"/>
          <w:bCs/>
          <w:color w:val="000000"/>
        </w:rPr>
        <w:t xml:space="preserve"> 10% remaining volume</w:t>
      </w:r>
      <w:r w:rsidRPr="00E11770">
        <w:rPr>
          <w:rFonts w:cstheme="minorHAnsi"/>
          <w:bCs/>
          <w:color w:val="000000"/>
        </w:rPr>
        <w:t xml:space="preserve"> is a max</w:t>
      </w:r>
      <w:r>
        <w:rPr>
          <w:rFonts w:cstheme="minorHAnsi"/>
          <w:bCs/>
          <w:color w:val="000000"/>
        </w:rPr>
        <w:t>imum for all existing and proposed water-use activities per ice-covered season.</w:t>
      </w:r>
      <w:r w:rsidRPr="00E11770">
        <w:rPr>
          <w:rFonts w:cstheme="minorHAnsi"/>
          <w:bCs/>
          <w:color w:val="000000"/>
        </w:rPr>
        <w:t xml:space="preserve"> If </w:t>
      </w:r>
      <w:r>
        <w:rPr>
          <w:rFonts w:cstheme="minorHAnsi"/>
          <w:bCs/>
          <w:color w:val="000000"/>
        </w:rPr>
        <w:t>there are multiple users using</w:t>
      </w:r>
      <w:r w:rsidRPr="00E11770">
        <w:rPr>
          <w:rFonts w:cstheme="minorHAnsi"/>
          <w:bCs/>
          <w:color w:val="000000"/>
        </w:rPr>
        <w:t xml:space="preserve"> the same source</w:t>
      </w:r>
      <w:r>
        <w:rPr>
          <w:rFonts w:cstheme="minorHAnsi"/>
          <w:bCs/>
          <w:color w:val="000000"/>
        </w:rPr>
        <w:t>,</w:t>
      </w:r>
      <w:r w:rsidRPr="00E11770">
        <w:rPr>
          <w:rFonts w:cstheme="minorHAnsi"/>
          <w:bCs/>
          <w:color w:val="000000"/>
        </w:rPr>
        <w:t xml:space="preserve"> </w:t>
      </w:r>
      <w:r>
        <w:rPr>
          <w:rFonts w:cstheme="minorHAnsi"/>
          <w:bCs/>
          <w:color w:val="000000"/>
        </w:rPr>
        <w:t>the total withdrawal must not exceed 10% of under-ice volume</w:t>
      </w:r>
      <w:r w:rsidRPr="00E11770">
        <w:rPr>
          <w:rFonts w:cstheme="minorHAnsi"/>
          <w:bCs/>
          <w:color w:val="000000"/>
        </w:rPr>
        <w:t>.</w:t>
      </w:r>
      <w:r w:rsidRPr="0090786A">
        <w:rPr>
          <w:rFonts w:cstheme="minorHAnsi"/>
          <w:bCs/>
          <w:color w:val="000000"/>
        </w:rPr>
        <w:t xml:space="preserve"> The Boards </w:t>
      </w:r>
      <w:r>
        <w:rPr>
          <w:rFonts w:cstheme="minorHAnsi"/>
          <w:bCs/>
          <w:color w:val="000000"/>
        </w:rPr>
        <w:t xml:space="preserve">recognize and </w:t>
      </w:r>
      <w:r w:rsidRPr="0090786A">
        <w:rPr>
          <w:rFonts w:cstheme="minorHAnsi"/>
          <w:bCs/>
          <w:color w:val="000000"/>
        </w:rPr>
        <w:t>promote th</w:t>
      </w:r>
      <w:r>
        <w:rPr>
          <w:rFonts w:cstheme="minorHAnsi"/>
          <w:bCs/>
          <w:color w:val="000000"/>
        </w:rPr>
        <w:t>e</w:t>
      </w:r>
      <w:r w:rsidRPr="0090786A">
        <w:rPr>
          <w:rFonts w:cstheme="minorHAnsi"/>
          <w:bCs/>
          <w:color w:val="000000"/>
        </w:rPr>
        <w:t xml:space="preserve"> DFO Protocol as the best practice</w:t>
      </w:r>
      <w:r>
        <w:rPr>
          <w:rFonts w:cstheme="minorHAnsi"/>
          <w:bCs/>
          <w:color w:val="000000"/>
        </w:rPr>
        <w:t>. B</w:t>
      </w:r>
      <w:r w:rsidRPr="0090786A">
        <w:rPr>
          <w:rFonts w:cstheme="minorHAnsi"/>
          <w:bCs/>
          <w:color w:val="000000"/>
        </w:rPr>
        <w:t>ecause detailed bathymetric methods require expertise and effort that may not align with the early stages or scope of</w:t>
      </w:r>
      <w:r>
        <w:rPr>
          <w:rFonts w:cstheme="minorHAnsi"/>
          <w:bCs/>
          <w:color w:val="000000"/>
        </w:rPr>
        <w:t xml:space="preserve"> smaller </w:t>
      </w:r>
      <w:r w:rsidRPr="0090786A">
        <w:rPr>
          <w:rFonts w:cstheme="minorHAnsi"/>
          <w:bCs/>
          <w:color w:val="000000"/>
        </w:rPr>
        <w:t xml:space="preserve">projects, </w:t>
      </w:r>
      <w:r>
        <w:rPr>
          <w:rFonts w:cstheme="minorHAnsi"/>
          <w:bCs/>
          <w:color w:val="000000"/>
        </w:rPr>
        <w:t xml:space="preserve">though, </w:t>
      </w:r>
      <w:r w:rsidRPr="0090786A">
        <w:rPr>
          <w:rFonts w:cstheme="minorHAnsi"/>
          <w:bCs/>
          <w:color w:val="000000"/>
        </w:rPr>
        <w:t>the Boards and the Government of the Northwest Territories Department of Environmental and Natural Resources (GNWT-ENR) have developed this alternative</w:t>
      </w:r>
      <w:r>
        <w:rPr>
          <w:rFonts w:cstheme="minorHAnsi"/>
          <w:bCs/>
          <w:color w:val="000000"/>
        </w:rPr>
        <w:t xml:space="preserve"> standard approach</w:t>
      </w:r>
      <w:r w:rsidRPr="0090786A">
        <w:rPr>
          <w:rFonts w:cstheme="minorHAnsi"/>
          <w:bCs/>
          <w:color w:val="000000"/>
        </w:rPr>
        <w:t xml:space="preserve">. </w:t>
      </w:r>
    </w:p>
    <w:p w14:paraId="7EA50959" w14:textId="77777777" w:rsidR="00E6304D" w:rsidRDefault="00E6304D" w:rsidP="00E6304D">
      <w:pPr>
        <w:autoSpaceDE w:val="0"/>
        <w:autoSpaceDN w:val="0"/>
        <w:adjustRightInd w:val="0"/>
        <w:spacing w:after="240"/>
        <w:rPr>
          <w:rFonts w:cstheme="minorHAnsi"/>
        </w:rPr>
      </w:pPr>
      <w:r w:rsidRPr="0090786A">
        <w:rPr>
          <w:rFonts w:cstheme="minorHAnsi"/>
          <w:bCs/>
          <w:color w:val="000000"/>
        </w:rPr>
        <w:t>This</w:t>
      </w:r>
      <w:r>
        <w:rPr>
          <w:rFonts w:cstheme="minorHAnsi"/>
          <w:bCs/>
          <w:color w:val="000000"/>
        </w:rPr>
        <w:t xml:space="preserve"> Method</w:t>
      </w:r>
      <w:r w:rsidRPr="0090786A">
        <w:rPr>
          <w:rFonts w:cstheme="minorHAnsi"/>
          <w:bCs/>
          <w:color w:val="000000"/>
        </w:rPr>
        <w:t xml:space="preserve"> has been developed for </w:t>
      </w:r>
      <w:r>
        <w:rPr>
          <w:rFonts w:cstheme="minorHAnsi"/>
          <w:bCs/>
          <w:color w:val="000000"/>
        </w:rPr>
        <w:t xml:space="preserve">type B Water Licence </w:t>
      </w:r>
      <w:r w:rsidRPr="0090786A">
        <w:rPr>
          <w:rFonts w:cstheme="minorHAnsi"/>
          <w:bCs/>
          <w:color w:val="000000"/>
        </w:rPr>
        <w:t xml:space="preserve">applicants of early stage exploration or </w:t>
      </w:r>
      <w:r>
        <w:rPr>
          <w:rFonts w:cstheme="minorHAnsi"/>
          <w:bCs/>
          <w:color w:val="000000"/>
        </w:rPr>
        <w:t xml:space="preserve">other </w:t>
      </w:r>
      <w:r w:rsidRPr="0090786A">
        <w:rPr>
          <w:rFonts w:cstheme="minorHAnsi"/>
          <w:bCs/>
          <w:color w:val="000000"/>
        </w:rPr>
        <w:t xml:space="preserve">limited scope projects to conservatively estimate </w:t>
      </w:r>
      <w:r>
        <w:rPr>
          <w:rFonts w:cstheme="minorHAnsi"/>
          <w:bCs/>
          <w:color w:val="000000"/>
        </w:rPr>
        <w:t>available</w:t>
      </w:r>
      <w:r w:rsidRPr="0090786A">
        <w:rPr>
          <w:rFonts w:cstheme="minorHAnsi"/>
          <w:bCs/>
          <w:color w:val="000000"/>
        </w:rPr>
        <w:t xml:space="preserve"> under-ice water use limits from water sources in the absence of bathymetric data</w:t>
      </w:r>
      <w:r>
        <w:rPr>
          <w:rFonts w:cstheme="minorHAnsi"/>
          <w:bCs/>
          <w:color w:val="000000"/>
        </w:rPr>
        <w:t xml:space="preserve"> and to confirm limits in the field</w:t>
      </w:r>
      <w:r w:rsidRPr="0090786A">
        <w:rPr>
          <w:rFonts w:cstheme="minorHAnsi"/>
          <w:bCs/>
          <w:color w:val="000000"/>
        </w:rPr>
        <w:t>.</w:t>
      </w:r>
      <w:r>
        <w:rPr>
          <w:rFonts w:cstheme="minorHAnsi"/>
          <w:bCs/>
          <w:color w:val="000000"/>
        </w:rPr>
        <w:t xml:space="preserve"> </w:t>
      </w:r>
      <w:r w:rsidRPr="00ED2E6A">
        <w:rPr>
          <w:rFonts w:cstheme="minorHAnsi"/>
        </w:rPr>
        <w:t xml:space="preserve">The removal of </w:t>
      </w:r>
      <w:r>
        <w:rPr>
          <w:rFonts w:cstheme="minorHAnsi"/>
        </w:rPr>
        <w:t>excessive</w:t>
      </w:r>
      <w:r w:rsidRPr="00ED2E6A">
        <w:rPr>
          <w:rFonts w:cstheme="minorHAnsi"/>
        </w:rPr>
        <w:t xml:space="preserve"> water under ice cover conditions could lead to oxygen depletion that may impact any over-wintering fish</w:t>
      </w:r>
      <w:r>
        <w:rPr>
          <w:rFonts w:cstheme="minorHAnsi"/>
        </w:rPr>
        <w:t>.</w:t>
      </w:r>
      <w:r w:rsidRPr="0090786A" w:rsidDel="00770103">
        <w:rPr>
          <w:rFonts w:cstheme="minorHAnsi"/>
        </w:rPr>
        <w:t xml:space="preserve"> </w:t>
      </w:r>
      <w:r w:rsidRPr="00E11770">
        <w:rPr>
          <w:rFonts w:cstheme="minorHAnsi"/>
          <w:bCs/>
          <w:color w:val="000000"/>
        </w:rPr>
        <w:t>The DFO Protocol remains the recommended</w:t>
      </w:r>
      <w:r>
        <w:rPr>
          <w:rFonts w:cstheme="minorHAnsi"/>
          <w:bCs/>
          <w:color w:val="000000"/>
        </w:rPr>
        <w:t xml:space="preserve"> standard</w:t>
      </w:r>
      <w:r w:rsidRPr="00E11770">
        <w:rPr>
          <w:rFonts w:cstheme="minorHAnsi"/>
          <w:bCs/>
          <w:color w:val="000000"/>
        </w:rPr>
        <w:t xml:space="preserve"> for most larger scale developments</w:t>
      </w:r>
      <w:r>
        <w:rPr>
          <w:rFonts w:cstheme="minorHAnsi"/>
          <w:bCs/>
          <w:color w:val="000000"/>
        </w:rPr>
        <w:t>, as bathymetric data is more accurate and may subsequently provide for more water to be used</w:t>
      </w:r>
      <w:r w:rsidRPr="00E11770">
        <w:rPr>
          <w:rFonts w:cstheme="minorHAnsi"/>
          <w:bCs/>
          <w:color w:val="000000"/>
        </w:rPr>
        <w:t>.</w:t>
      </w:r>
      <w:r>
        <w:t xml:space="preserve"> </w:t>
      </w:r>
      <w:r w:rsidRPr="007B6A65">
        <w:rPr>
          <w:rFonts w:cstheme="minorHAnsi"/>
        </w:rPr>
        <w:t xml:space="preserve">This </w:t>
      </w:r>
      <w:r>
        <w:rPr>
          <w:rFonts w:cstheme="minorHAnsi"/>
        </w:rPr>
        <w:t xml:space="preserve">method, developed by the Boards and GNWT-ENR, </w:t>
      </w:r>
      <w:r w:rsidRPr="007B6A65">
        <w:rPr>
          <w:rFonts w:cstheme="minorHAnsi"/>
        </w:rPr>
        <w:t>can be adapted to the open-water season to maintain protection of the aquatic environment</w:t>
      </w:r>
      <w:r>
        <w:rPr>
          <w:rFonts w:cstheme="minorHAnsi"/>
        </w:rPr>
        <w:t>.</w:t>
      </w:r>
      <w:r w:rsidRPr="00F54D27">
        <w:rPr>
          <w:rFonts w:cstheme="minorHAnsi"/>
        </w:rPr>
        <w:t xml:space="preserve"> </w:t>
      </w:r>
      <w:r>
        <w:rPr>
          <w:rFonts w:cstheme="minorHAnsi"/>
        </w:rPr>
        <w:t>Since fi</w:t>
      </w:r>
      <w:r w:rsidRPr="007B6A65">
        <w:rPr>
          <w:rFonts w:cstheme="minorHAnsi"/>
        </w:rPr>
        <w:t xml:space="preserve">sh and aquatic environments are potentially less sensitive to </w:t>
      </w:r>
      <w:r>
        <w:rPr>
          <w:rFonts w:cstheme="minorHAnsi"/>
        </w:rPr>
        <w:t xml:space="preserve">open-water </w:t>
      </w:r>
      <w:r w:rsidRPr="007B6A65">
        <w:rPr>
          <w:rFonts w:cstheme="minorHAnsi"/>
        </w:rPr>
        <w:t>withdrawals compared to ice-covered conditions</w:t>
      </w:r>
      <w:r>
        <w:rPr>
          <w:rFonts w:cstheme="minorHAnsi"/>
        </w:rPr>
        <w:t>, alternative approaches accompanied by supporting rationale may be considered</w:t>
      </w:r>
      <w:r w:rsidRPr="007B6A65">
        <w:rPr>
          <w:rFonts w:cstheme="minorHAnsi"/>
        </w:rPr>
        <w:t xml:space="preserve">. </w:t>
      </w:r>
    </w:p>
    <w:p w14:paraId="1C6489C7" w14:textId="77777777" w:rsidR="00E6304D" w:rsidRPr="00ED1A57" w:rsidRDefault="00E6304D" w:rsidP="00E6304D">
      <w:pPr>
        <w:autoSpaceDE w:val="0"/>
        <w:autoSpaceDN w:val="0"/>
        <w:adjustRightInd w:val="0"/>
        <w:spacing w:after="240"/>
      </w:pPr>
      <w:r>
        <w:rPr>
          <w:rFonts w:cstheme="minorHAnsi"/>
        </w:rPr>
        <w:t xml:space="preserve">Parties were </w:t>
      </w:r>
      <w:r w:rsidRPr="0090786A">
        <w:rPr>
          <w:rFonts w:cstheme="minorHAnsi"/>
          <w:bCs/>
          <w:color w:val="000000"/>
        </w:rPr>
        <w:t xml:space="preserve">invited </w:t>
      </w:r>
      <w:r>
        <w:rPr>
          <w:rFonts w:cstheme="minorHAnsi"/>
          <w:bCs/>
          <w:color w:val="000000"/>
        </w:rPr>
        <w:t xml:space="preserve">to provide </w:t>
      </w:r>
      <w:r w:rsidRPr="0090786A">
        <w:rPr>
          <w:rFonts w:cstheme="minorHAnsi"/>
          <w:bCs/>
          <w:color w:val="000000"/>
        </w:rPr>
        <w:t>submissions recommending alternate approaches for estimating conservative under</w:t>
      </w:r>
      <w:r>
        <w:rPr>
          <w:rFonts w:cstheme="minorHAnsi"/>
          <w:bCs/>
          <w:color w:val="000000"/>
        </w:rPr>
        <w:t>-</w:t>
      </w:r>
      <w:r w:rsidRPr="0090786A">
        <w:rPr>
          <w:rFonts w:cstheme="minorHAnsi"/>
          <w:bCs/>
          <w:color w:val="000000"/>
        </w:rPr>
        <w:t xml:space="preserve">ice water volumes in October 2019. A </w:t>
      </w:r>
      <w:r>
        <w:rPr>
          <w:rFonts w:cstheme="minorHAnsi"/>
          <w:bCs/>
          <w:color w:val="000000"/>
        </w:rPr>
        <w:t xml:space="preserve">follow-up meeting </w:t>
      </w:r>
      <w:r w:rsidRPr="0090786A">
        <w:rPr>
          <w:rFonts w:cstheme="minorHAnsi"/>
          <w:bCs/>
          <w:color w:val="000000"/>
        </w:rPr>
        <w:t xml:space="preserve">was held </w:t>
      </w:r>
      <w:r>
        <w:rPr>
          <w:rFonts w:cstheme="minorHAnsi"/>
          <w:bCs/>
          <w:color w:val="000000"/>
        </w:rPr>
        <w:t>in February</w:t>
      </w:r>
      <w:r w:rsidRPr="0090786A">
        <w:rPr>
          <w:rFonts w:cstheme="minorHAnsi"/>
          <w:bCs/>
          <w:color w:val="000000"/>
        </w:rPr>
        <w:t xml:space="preserve"> 2020 to discuss the submissions received and other alternatives identified through a literature review. The submissions were tested against </w:t>
      </w:r>
      <w:r w:rsidRPr="0090786A">
        <w:rPr>
          <w:rFonts w:cstheme="minorHAnsi"/>
        </w:rPr>
        <w:t xml:space="preserve">water sources with </w:t>
      </w:r>
      <w:r>
        <w:rPr>
          <w:rFonts w:cstheme="minorHAnsi"/>
        </w:rPr>
        <w:t>measured</w:t>
      </w:r>
      <w:r w:rsidRPr="0090786A">
        <w:rPr>
          <w:rFonts w:cstheme="minorHAnsi"/>
        </w:rPr>
        <w:t xml:space="preserve"> water volumes </w:t>
      </w:r>
      <w:r w:rsidRPr="0090786A">
        <w:rPr>
          <w:rFonts w:cstheme="minorHAnsi"/>
          <w:bCs/>
          <w:color w:val="000000"/>
        </w:rPr>
        <w:t>for their ability to provide accurate and protective estimates of water volumes in ice-covered waterbodies</w:t>
      </w:r>
      <w:r w:rsidRPr="0090786A">
        <w:rPr>
          <w:rFonts w:cstheme="minorHAnsi"/>
        </w:rPr>
        <w:t xml:space="preserve"> </w:t>
      </w:r>
      <w:r w:rsidRPr="0090786A">
        <w:rPr>
          <w:rFonts w:cstheme="minorHAnsi"/>
          <w:bCs/>
          <w:color w:val="000000"/>
        </w:rPr>
        <w:t xml:space="preserve">using the same protective assumptions and criteria identified in the </w:t>
      </w:r>
      <w:r w:rsidRPr="0090786A">
        <w:rPr>
          <w:rFonts w:cstheme="minorHAnsi"/>
        </w:rPr>
        <w:t>DFO Protocol.</w:t>
      </w:r>
      <w:r>
        <w:rPr>
          <w:rFonts w:cstheme="minorHAnsi"/>
        </w:rPr>
        <w:t xml:space="preserve"> Further background on the derivation of this method is included in </w:t>
      </w:r>
      <w:bookmarkStart w:id="1" w:name="_Hlk37764926"/>
      <w:r>
        <w:rPr>
          <w:rFonts w:cstheme="minorHAnsi"/>
        </w:rPr>
        <w:t>the accompanying Technical Reference Document</w:t>
      </w:r>
      <w:bookmarkEnd w:id="1"/>
      <w:r>
        <w:rPr>
          <w:rFonts w:cstheme="minorHAnsi"/>
        </w:rPr>
        <w:t>.</w:t>
      </w:r>
      <w:r>
        <w:rPr>
          <w:rStyle w:val="FootnoteReference"/>
          <w:rFonts w:cstheme="minorHAnsi"/>
        </w:rPr>
        <w:footnoteReference w:id="1"/>
      </w:r>
      <w:r>
        <w:rPr>
          <w:rFonts w:cstheme="minorHAnsi"/>
        </w:rPr>
        <w:t xml:space="preserve"> </w:t>
      </w:r>
    </w:p>
    <w:p w14:paraId="5806673E" w14:textId="77777777" w:rsidR="00E6304D" w:rsidRPr="0090786A" w:rsidRDefault="00E6304D" w:rsidP="00E6304D">
      <w:pPr>
        <w:autoSpaceDE w:val="0"/>
        <w:autoSpaceDN w:val="0"/>
        <w:adjustRightInd w:val="0"/>
        <w:rPr>
          <w:rFonts w:cstheme="minorHAnsi"/>
          <w:b/>
          <w:bCs/>
        </w:rPr>
      </w:pPr>
      <w:r w:rsidRPr="0090786A">
        <w:rPr>
          <w:rFonts w:cstheme="minorHAnsi"/>
          <w:b/>
          <w:bCs/>
        </w:rPr>
        <w:t>Submission Requirements</w:t>
      </w:r>
    </w:p>
    <w:p w14:paraId="08B38819" w14:textId="77777777" w:rsidR="00E6304D" w:rsidRPr="0090786A" w:rsidRDefault="00E6304D" w:rsidP="00E6304D">
      <w:pPr>
        <w:autoSpaceDE w:val="0"/>
        <w:autoSpaceDN w:val="0"/>
        <w:adjustRightInd w:val="0"/>
        <w:spacing w:after="240"/>
        <w:rPr>
          <w:rFonts w:cstheme="minorHAnsi"/>
        </w:rPr>
      </w:pPr>
      <w:r w:rsidRPr="0090786A">
        <w:rPr>
          <w:rFonts w:cstheme="minorHAnsi"/>
        </w:rPr>
        <w:t>When pro</w:t>
      </w:r>
      <w:r>
        <w:rPr>
          <w:rFonts w:cstheme="minorHAnsi"/>
        </w:rPr>
        <w:t>viding</w:t>
      </w:r>
      <w:r w:rsidRPr="0090786A">
        <w:rPr>
          <w:rFonts w:cstheme="minorHAnsi"/>
        </w:rPr>
        <w:t xml:space="preserve"> estimate</w:t>
      </w:r>
      <w:r>
        <w:rPr>
          <w:rFonts w:cstheme="minorHAnsi"/>
        </w:rPr>
        <w:t>s of</w:t>
      </w:r>
      <w:r w:rsidRPr="0090786A">
        <w:rPr>
          <w:rFonts w:cstheme="minorHAnsi"/>
        </w:rPr>
        <w:t xml:space="preserve"> available capacity of </w:t>
      </w:r>
      <w:r>
        <w:rPr>
          <w:rFonts w:cstheme="minorHAnsi"/>
        </w:rPr>
        <w:t xml:space="preserve">proposed </w:t>
      </w:r>
      <w:r w:rsidRPr="0090786A">
        <w:rPr>
          <w:rFonts w:cstheme="minorHAnsi"/>
        </w:rPr>
        <w:t>water sources without detailed bathymetry, applicants must provide the following</w:t>
      </w:r>
      <w:r>
        <w:rPr>
          <w:rFonts w:cstheme="minorHAnsi"/>
        </w:rPr>
        <w:t xml:space="preserve"> to the Board</w:t>
      </w:r>
      <w:r w:rsidRPr="0090786A">
        <w:rPr>
          <w:rFonts w:cstheme="minorHAnsi"/>
        </w:rPr>
        <w:t xml:space="preserve">: </w:t>
      </w:r>
    </w:p>
    <w:p w14:paraId="6A78E100" w14:textId="77777777" w:rsidR="00E6304D" w:rsidRPr="0090786A" w:rsidRDefault="00E6304D" w:rsidP="00E6304D">
      <w:pPr>
        <w:pStyle w:val="ListParagraph"/>
        <w:numPr>
          <w:ilvl w:val="0"/>
          <w:numId w:val="2"/>
        </w:numPr>
        <w:autoSpaceDE w:val="0"/>
        <w:autoSpaceDN w:val="0"/>
        <w:adjustRightInd w:val="0"/>
        <w:ind w:left="360"/>
        <w:rPr>
          <w:rFonts w:asciiTheme="minorHAnsi" w:eastAsiaTheme="minorHAnsi" w:hAnsiTheme="minorHAnsi" w:cstheme="minorHAnsi"/>
          <w:sz w:val="22"/>
          <w:szCs w:val="22"/>
          <w:u w:val="single"/>
        </w:rPr>
      </w:pPr>
      <w:r w:rsidRPr="0090786A">
        <w:rPr>
          <w:rFonts w:asciiTheme="minorHAnsi" w:eastAsiaTheme="minorHAnsi" w:hAnsiTheme="minorHAnsi" w:cstheme="minorHAnsi"/>
          <w:sz w:val="22"/>
          <w:szCs w:val="22"/>
          <w:u w:val="single"/>
        </w:rPr>
        <w:lastRenderedPageBreak/>
        <w:t>Water Use Estimate</w:t>
      </w:r>
    </w:p>
    <w:p w14:paraId="3A5CA680" w14:textId="77777777" w:rsidR="00E6304D" w:rsidRDefault="00E6304D" w:rsidP="00E6304D">
      <w:pPr>
        <w:pStyle w:val="ListParagraph"/>
        <w:numPr>
          <w:ilvl w:val="0"/>
          <w:numId w:val="5"/>
        </w:numPr>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 xml:space="preserve">A map </w:t>
      </w:r>
      <w:r>
        <w:rPr>
          <w:rFonts w:asciiTheme="minorHAnsi" w:eastAsiaTheme="minorHAnsi" w:hAnsiTheme="minorHAnsi" w:cstheme="minorHAnsi"/>
          <w:sz w:val="22"/>
          <w:szCs w:val="22"/>
        </w:rPr>
        <w:t>and table identifying</w:t>
      </w:r>
      <w:r w:rsidRPr="0090786A">
        <w:rPr>
          <w:rFonts w:asciiTheme="minorHAnsi" w:eastAsiaTheme="minorHAnsi" w:hAnsiTheme="minorHAnsi" w:cstheme="minorHAnsi"/>
          <w:sz w:val="22"/>
          <w:szCs w:val="22"/>
        </w:rPr>
        <w:t xml:space="preserve"> all proposed water sources, </w:t>
      </w:r>
      <w:r>
        <w:rPr>
          <w:rFonts w:asciiTheme="minorHAnsi" w:eastAsiaTheme="minorHAnsi" w:hAnsiTheme="minorHAnsi" w:cstheme="minorHAnsi"/>
          <w:sz w:val="22"/>
          <w:szCs w:val="22"/>
        </w:rPr>
        <w:t>providing</w:t>
      </w:r>
      <w:r w:rsidRPr="0090786A">
        <w:rPr>
          <w:rFonts w:asciiTheme="minorHAnsi" w:eastAsiaTheme="minorHAnsi" w:hAnsiTheme="minorHAnsi" w:cstheme="minorHAnsi"/>
          <w:sz w:val="22"/>
          <w:szCs w:val="22"/>
        </w:rPr>
        <w:t xml:space="preserve"> geographic coordinates</w:t>
      </w:r>
      <w:r>
        <w:rPr>
          <w:rFonts w:asciiTheme="minorHAnsi" w:eastAsiaTheme="minorHAnsi" w:hAnsiTheme="minorHAnsi" w:cstheme="minorHAnsi"/>
          <w:sz w:val="22"/>
          <w:szCs w:val="22"/>
        </w:rPr>
        <w:t xml:space="preserve"> </w:t>
      </w:r>
      <w:r w:rsidRPr="0090786A">
        <w:rPr>
          <w:rFonts w:asciiTheme="minorHAnsi" w:eastAsiaTheme="minorHAnsi" w:hAnsiTheme="minorHAnsi" w:cstheme="minorHAnsi"/>
          <w:sz w:val="22"/>
          <w:szCs w:val="22"/>
        </w:rPr>
        <w:t xml:space="preserve">and </w:t>
      </w:r>
      <w:r>
        <w:rPr>
          <w:rFonts w:asciiTheme="minorHAnsi" w:eastAsiaTheme="minorHAnsi" w:hAnsiTheme="minorHAnsi" w:cstheme="minorHAnsi"/>
          <w:sz w:val="22"/>
          <w:szCs w:val="22"/>
        </w:rPr>
        <w:t>T</w:t>
      </w:r>
      <w:r w:rsidRPr="0090786A">
        <w:rPr>
          <w:rFonts w:asciiTheme="minorHAnsi" w:eastAsiaTheme="minorHAnsi" w:hAnsiTheme="minorHAnsi" w:cstheme="minorHAnsi"/>
          <w:sz w:val="22"/>
          <w:szCs w:val="22"/>
        </w:rPr>
        <w:t xml:space="preserve">otal </w:t>
      </w:r>
      <w:r>
        <w:rPr>
          <w:rFonts w:asciiTheme="minorHAnsi" w:eastAsiaTheme="minorHAnsi" w:hAnsiTheme="minorHAnsi" w:cstheme="minorHAnsi"/>
          <w:sz w:val="22"/>
          <w:szCs w:val="22"/>
        </w:rPr>
        <w:t>S</w:t>
      </w:r>
      <w:r w:rsidRPr="0090786A">
        <w:rPr>
          <w:rFonts w:asciiTheme="minorHAnsi" w:eastAsiaTheme="minorHAnsi" w:hAnsiTheme="minorHAnsi" w:cstheme="minorHAnsi"/>
          <w:sz w:val="22"/>
          <w:szCs w:val="22"/>
        </w:rPr>
        <w:t xml:space="preserve">urface </w:t>
      </w:r>
      <w:r>
        <w:rPr>
          <w:rFonts w:asciiTheme="minorHAnsi" w:eastAsiaTheme="minorHAnsi" w:hAnsiTheme="minorHAnsi" w:cstheme="minorHAnsi"/>
          <w:sz w:val="22"/>
          <w:szCs w:val="22"/>
        </w:rPr>
        <w:t>A</w:t>
      </w:r>
      <w:r w:rsidRPr="0090786A">
        <w:rPr>
          <w:rFonts w:asciiTheme="minorHAnsi" w:eastAsiaTheme="minorHAnsi" w:hAnsiTheme="minorHAnsi" w:cstheme="minorHAnsi"/>
          <w:sz w:val="22"/>
          <w:szCs w:val="22"/>
        </w:rPr>
        <w:t xml:space="preserve">rea </w:t>
      </w:r>
      <w:proofErr w:type="gramStart"/>
      <w:r w:rsidRPr="0090786A">
        <w:rPr>
          <w:rFonts w:asciiTheme="minorHAnsi" w:eastAsiaTheme="minorHAnsi" w:hAnsiTheme="minorHAnsi" w:cstheme="minorHAnsi"/>
          <w:sz w:val="22"/>
          <w:szCs w:val="22"/>
        </w:rPr>
        <w:t>calculations;</w:t>
      </w:r>
      <w:proofErr w:type="gramEnd"/>
      <w:r w:rsidRPr="0090786A">
        <w:rPr>
          <w:rFonts w:asciiTheme="minorHAnsi" w:eastAsiaTheme="minorHAnsi" w:hAnsiTheme="minorHAnsi" w:cstheme="minorHAnsi"/>
          <w:sz w:val="22"/>
          <w:szCs w:val="22"/>
        </w:rPr>
        <w:t xml:space="preserve"> </w:t>
      </w:r>
    </w:p>
    <w:p w14:paraId="0F6C4CC0" w14:textId="77777777" w:rsidR="00E6304D" w:rsidRPr="0090786A" w:rsidRDefault="00E6304D" w:rsidP="00E6304D">
      <w:pPr>
        <w:pStyle w:val="ListParagraph"/>
        <w:numPr>
          <w:ilvl w:val="0"/>
          <w:numId w:val="5"/>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Description of how Total Surface Area was </w:t>
      </w:r>
      <w:proofErr w:type="gramStart"/>
      <w:r>
        <w:rPr>
          <w:rFonts w:asciiTheme="minorHAnsi" w:eastAsiaTheme="minorHAnsi" w:hAnsiTheme="minorHAnsi" w:cstheme="minorHAnsi"/>
          <w:sz w:val="22"/>
          <w:szCs w:val="22"/>
        </w:rPr>
        <w:t>calculated;</w:t>
      </w:r>
      <w:proofErr w:type="gramEnd"/>
    </w:p>
    <w:p w14:paraId="48C929D5" w14:textId="77777777" w:rsidR="00E6304D" w:rsidRDefault="00E6304D" w:rsidP="00E6304D">
      <w:pPr>
        <w:pStyle w:val="HESLBullet"/>
        <w:numPr>
          <w:ilvl w:val="0"/>
          <w:numId w:val="5"/>
        </w:numPr>
        <w:spacing w:after="120"/>
        <w:contextualSpacing w:val="0"/>
        <w:jc w:val="both"/>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 xml:space="preserve">A calculation for </w:t>
      </w:r>
      <w:r>
        <w:rPr>
          <w:rFonts w:asciiTheme="minorHAnsi" w:eastAsiaTheme="minorHAnsi" w:hAnsiTheme="minorHAnsi" w:cstheme="minorHAnsi"/>
          <w:sz w:val="22"/>
          <w:szCs w:val="22"/>
        </w:rPr>
        <w:t>Total</w:t>
      </w:r>
      <w:r w:rsidRPr="0090786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Available</w:t>
      </w:r>
      <w:r w:rsidRPr="0090786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W</w:t>
      </w:r>
      <w:r w:rsidRPr="0090786A">
        <w:rPr>
          <w:rFonts w:asciiTheme="minorHAnsi" w:eastAsiaTheme="minorHAnsi" w:hAnsiTheme="minorHAnsi" w:cstheme="minorHAnsi"/>
          <w:sz w:val="22"/>
          <w:szCs w:val="22"/>
        </w:rPr>
        <w:t xml:space="preserve">ater </w:t>
      </w:r>
      <w:r>
        <w:rPr>
          <w:rFonts w:asciiTheme="minorHAnsi" w:eastAsiaTheme="minorHAnsi" w:hAnsiTheme="minorHAnsi" w:cstheme="minorHAnsi"/>
          <w:sz w:val="22"/>
          <w:szCs w:val="22"/>
        </w:rPr>
        <w:t>U</w:t>
      </w:r>
      <w:r w:rsidRPr="0090786A">
        <w:rPr>
          <w:rFonts w:asciiTheme="minorHAnsi" w:eastAsiaTheme="minorHAnsi" w:hAnsiTheme="minorHAnsi" w:cstheme="minorHAnsi"/>
          <w:sz w:val="22"/>
          <w:szCs w:val="22"/>
        </w:rPr>
        <w:t>se</w:t>
      </w:r>
      <w:r>
        <w:rPr>
          <w:rFonts w:asciiTheme="minorHAnsi" w:eastAsiaTheme="minorHAnsi" w:hAnsiTheme="minorHAnsi" w:cstheme="minorHAnsi"/>
          <w:sz w:val="22"/>
          <w:szCs w:val="22"/>
        </w:rPr>
        <w:t xml:space="preserve"> for each proposed water source</w:t>
      </w:r>
      <w:r w:rsidRPr="0090786A">
        <w:rPr>
          <w:rFonts w:asciiTheme="minorHAnsi" w:eastAsiaTheme="minorHAnsi" w:hAnsiTheme="minorHAnsi" w:cstheme="minorHAnsi"/>
          <w:sz w:val="22"/>
          <w:szCs w:val="22"/>
        </w:rPr>
        <w:t xml:space="preserve">: </w:t>
      </w:r>
    </w:p>
    <w:p w14:paraId="6856A02D" w14:textId="77777777" w:rsidR="00E6304D" w:rsidRDefault="00E6304D" w:rsidP="00E6304D">
      <w:pPr>
        <w:pStyle w:val="HESLBullet"/>
        <w:numPr>
          <w:ilvl w:val="0"/>
          <w:numId w:val="0"/>
        </w:numPr>
        <w:spacing w:after="120"/>
        <w:ind w:left="1440" w:firstLine="720"/>
        <w:contextualSpacing w:val="0"/>
        <w:jc w:val="both"/>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 xml:space="preserve">Total Surface </w:t>
      </w:r>
      <w:r w:rsidRPr="00AA69FA">
        <w:rPr>
          <w:rFonts w:asciiTheme="minorHAnsi" w:eastAsiaTheme="minorHAnsi" w:hAnsiTheme="minorHAnsi" w:cstheme="minorHAnsi"/>
          <w:sz w:val="22"/>
          <w:szCs w:val="22"/>
        </w:rPr>
        <w:t>Area (SA</w:t>
      </w:r>
      <w:r>
        <w:rPr>
          <w:rFonts w:asciiTheme="minorHAnsi" w:eastAsiaTheme="minorHAnsi" w:hAnsiTheme="minorHAnsi" w:cstheme="minorHAnsi"/>
          <w:sz w:val="22"/>
          <w:szCs w:val="22"/>
        </w:rPr>
        <w:t>, m</w:t>
      </w:r>
      <w:r>
        <w:rPr>
          <w:rFonts w:asciiTheme="minorHAnsi" w:eastAsiaTheme="minorHAnsi" w:hAnsiTheme="minorHAnsi" w:cstheme="minorHAnsi"/>
          <w:sz w:val="22"/>
          <w:szCs w:val="22"/>
          <w:vertAlign w:val="superscript"/>
        </w:rPr>
        <w:t>2</w:t>
      </w:r>
      <w:r w:rsidRPr="00AA69FA">
        <w:rPr>
          <w:rFonts w:asciiTheme="minorHAnsi" w:eastAsiaTheme="minorHAnsi" w:hAnsiTheme="minorHAnsi" w:cstheme="minorHAnsi"/>
          <w:sz w:val="22"/>
          <w:szCs w:val="22"/>
        </w:rPr>
        <w:t>) * 0.10 m =</w:t>
      </w:r>
      <w:r w:rsidRPr="0090786A">
        <w:rPr>
          <w:rFonts w:asciiTheme="minorHAnsi" w:eastAsiaTheme="minorHAnsi" w:hAnsiTheme="minorHAnsi" w:cstheme="minorHAnsi"/>
          <w:sz w:val="22"/>
          <w:szCs w:val="22"/>
        </w:rPr>
        <w:t xml:space="preserve"> Total </w:t>
      </w:r>
      <w:r>
        <w:rPr>
          <w:rFonts w:asciiTheme="minorHAnsi" w:eastAsiaTheme="minorHAnsi" w:hAnsiTheme="minorHAnsi" w:cstheme="minorHAnsi"/>
          <w:sz w:val="22"/>
          <w:szCs w:val="22"/>
        </w:rPr>
        <w:t>Available W</w:t>
      </w:r>
      <w:r w:rsidRPr="0090786A">
        <w:rPr>
          <w:rFonts w:asciiTheme="minorHAnsi" w:eastAsiaTheme="minorHAnsi" w:hAnsiTheme="minorHAnsi" w:cstheme="minorHAnsi"/>
          <w:sz w:val="22"/>
          <w:szCs w:val="22"/>
        </w:rPr>
        <w:t xml:space="preserve">ater </w:t>
      </w:r>
      <w:r>
        <w:rPr>
          <w:rFonts w:asciiTheme="minorHAnsi" w:eastAsiaTheme="minorHAnsi" w:hAnsiTheme="minorHAnsi" w:cstheme="minorHAnsi"/>
          <w:sz w:val="22"/>
          <w:szCs w:val="22"/>
        </w:rPr>
        <w:t>U</w:t>
      </w:r>
      <w:r w:rsidRPr="0090786A">
        <w:rPr>
          <w:rFonts w:asciiTheme="minorHAnsi" w:eastAsiaTheme="minorHAnsi" w:hAnsiTheme="minorHAnsi" w:cstheme="minorHAnsi"/>
          <w:sz w:val="22"/>
          <w:szCs w:val="22"/>
        </w:rPr>
        <w:t>se (m</w:t>
      </w:r>
      <w:r w:rsidRPr="0090786A">
        <w:rPr>
          <w:rFonts w:asciiTheme="minorHAnsi" w:eastAsiaTheme="minorHAnsi" w:hAnsiTheme="minorHAnsi" w:cstheme="minorHAnsi"/>
          <w:sz w:val="22"/>
          <w:szCs w:val="22"/>
          <w:vertAlign w:val="superscript"/>
        </w:rPr>
        <w:t>3</w:t>
      </w:r>
      <w:r w:rsidRPr="0090786A">
        <w:rPr>
          <w:rFonts w:asciiTheme="minorHAnsi" w:eastAsiaTheme="minorHAnsi" w:hAnsiTheme="minorHAnsi" w:cstheme="minorHAnsi"/>
          <w:sz w:val="22"/>
          <w:szCs w:val="22"/>
        </w:rPr>
        <w:t>)</w:t>
      </w:r>
      <w:r>
        <w:rPr>
          <w:rFonts w:asciiTheme="minorHAnsi" w:eastAsiaTheme="minorHAnsi" w:hAnsiTheme="minorHAnsi" w:cstheme="minorHAnsi"/>
          <w:sz w:val="22"/>
          <w:szCs w:val="22"/>
        </w:rPr>
        <w:t>.</w:t>
      </w:r>
    </w:p>
    <w:p w14:paraId="5E4BC958" w14:textId="77777777" w:rsidR="00E6304D" w:rsidRDefault="00E6304D" w:rsidP="00E6304D">
      <w:pPr>
        <w:pStyle w:val="HESLBullet"/>
        <w:numPr>
          <w:ilvl w:val="0"/>
          <w:numId w:val="5"/>
        </w:numPr>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 total amount of water being proposed for use from each source;</w:t>
      </w:r>
      <w:r w:rsidRPr="00AA058D">
        <w:rPr>
          <w:rFonts w:asciiTheme="minorHAnsi" w:eastAsiaTheme="minorHAnsi" w:hAnsiTheme="minorHAnsi" w:cstheme="minorHAnsi"/>
          <w:sz w:val="22"/>
          <w:szCs w:val="22"/>
        </w:rPr>
        <w:t xml:space="preserve"> </w:t>
      </w:r>
      <w:r w:rsidRPr="0090786A">
        <w:rPr>
          <w:rFonts w:asciiTheme="minorHAnsi" w:eastAsiaTheme="minorHAnsi" w:hAnsiTheme="minorHAnsi" w:cstheme="minorHAnsi"/>
          <w:sz w:val="22"/>
          <w:szCs w:val="22"/>
        </w:rPr>
        <w:t>and</w:t>
      </w:r>
    </w:p>
    <w:p w14:paraId="1C781D7F" w14:textId="77777777" w:rsidR="00E6304D" w:rsidRPr="00AA2157" w:rsidRDefault="00E6304D" w:rsidP="00E6304D">
      <w:pPr>
        <w:pStyle w:val="HESLBullet"/>
        <w:numPr>
          <w:ilvl w:val="0"/>
          <w:numId w:val="5"/>
        </w:numPr>
        <w:spacing w:after="0"/>
        <w:jc w:val="both"/>
        <w:rPr>
          <w:rFonts w:asciiTheme="minorHAnsi" w:eastAsiaTheme="minorHAnsi" w:hAnsiTheme="minorHAnsi" w:cstheme="minorHAnsi"/>
          <w:sz w:val="22"/>
          <w:szCs w:val="22"/>
        </w:rPr>
      </w:pPr>
      <w:r w:rsidRPr="00AA2157">
        <w:rPr>
          <w:rFonts w:asciiTheme="minorHAnsi" w:eastAsiaTheme="minorHAnsi" w:hAnsiTheme="minorHAnsi" w:cstheme="minorHAnsi"/>
          <w:sz w:val="22"/>
          <w:szCs w:val="22"/>
        </w:rPr>
        <w:t>Acknowledgement of applicable DFO intake screen guideline(s) (DFO, 2011; DFO, 2020)</w:t>
      </w:r>
      <w:r>
        <w:rPr>
          <w:rStyle w:val="FootnoteReference"/>
          <w:rFonts w:asciiTheme="minorHAnsi" w:eastAsiaTheme="minorHAnsi" w:hAnsiTheme="minorHAnsi" w:cstheme="minorHAnsi"/>
          <w:sz w:val="22"/>
          <w:szCs w:val="22"/>
        </w:rPr>
        <w:footnoteReference w:id="2"/>
      </w:r>
      <w:r w:rsidRPr="00AA2157">
        <w:rPr>
          <w:rFonts w:asciiTheme="minorHAnsi" w:eastAsiaTheme="minorHAnsi" w:hAnsiTheme="minorHAnsi" w:cstheme="minorHAnsi"/>
          <w:sz w:val="22"/>
          <w:szCs w:val="22"/>
        </w:rPr>
        <w:t>.</w:t>
      </w:r>
    </w:p>
    <w:p w14:paraId="47105386" w14:textId="77777777" w:rsidR="00E6304D" w:rsidRDefault="00E6304D" w:rsidP="00E6304D">
      <w:pPr>
        <w:pStyle w:val="HESLBullet"/>
        <w:numPr>
          <w:ilvl w:val="0"/>
          <w:numId w:val="0"/>
        </w:numPr>
        <w:spacing w:after="0"/>
        <w:ind w:left="360"/>
        <w:jc w:val="both"/>
        <w:rPr>
          <w:rFonts w:asciiTheme="minorHAnsi" w:eastAsiaTheme="minorHAnsi" w:hAnsiTheme="minorHAnsi" w:cstheme="minorHAnsi"/>
          <w:b/>
          <w:bCs/>
          <w:sz w:val="22"/>
          <w:szCs w:val="22"/>
        </w:rPr>
      </w:pPr>
    </w:p>
    <w:p w14:paraId="586112F8" w14:textId="77777777" w:rsidR="00E6304D" w:rsidRPr="0090786A" w:rsidRDefault="00E6304D" w:rsidP="00E6304D">
      <w:pPr>
        <w:pStyle w:val="HESLBullet"/>
        <w:numPr>
          <w:ilvl w:val="0"/>
          <w:numId w:val="0"/>
        </w:numPr>
        <w:spacing w:after="0"/>
        <w:ind w:left="360"/>
        <w:jc w:val="both"/>
        <w:rPr>
          <w:rFonts w:asciiTheme="minorHAnsi" w:eastAsiaTheme="minorHAnsi" w:hAnsiTheme="minorHAnsi" w:cstheme="minorHAnsi"/>
          <w:b/>
          <w:bCs/>
          <w:sz w:val="22"/>
          <w:szCs w:val="22"/>
        </w:rPr>
      </w:pPr>
      <w:r w:rsidRPr="0090786A">
        <w:rPr>
          <w:rFonts w:asciiTheme="minorHAnsi" w:eastAsiaTheme="minorHAnsi" w:hAnsiTheme="minorHAnsi" w:cstheme="minorHAnsi"/>
          <w:b/>
          <w:bCs/>
          <w:sz w:val="22"/>
          <w:szCs w:val="22"/>
        </w:rPr>
        <w:t>Table 1: Water Use Calculation Table</w:t>
      </w:r>
    </w:p>
    <w:tbl>
      <w:tblPr>
        <w:tblStyle w:val="TableGrid"/>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690"/>
        <w:gridCol w:w="1887"/>
        <w:gridCol w:w="3181"/>
      </w:tblGrid>
      <w:tr w:rsidR="00E6304D" w:rsidRPr="0090786A" w14:paraId="42DBAA64" w14:textId="77777777" w:rsidTr="00C129FE">
        <w:tc>
          <w:tcPr>
            <w:tcW w:w="1875" w:type="dxa"/>
            <w:vAlign w:val="center"/>
          </w:tcPr>
          <w:p w14:paraId="1F21A563" w14:textId="77777777" w:rsidR="00E6304D" w:rsidRPr="0090786A" w:rsidRDefault="00E6304D" w:rsidP="00C129FE">
            <w:pPr>
              <w:pStyle w:val="HESLBullet"/>
              <w:numPr>
                <w:ilvl w:val="0"/>
                <w:numId w:val="0"/>
              </w:numPr>
              <w:spacing w:after="0"/>
              <w:jc w:val="center"/>
              <w:rPr>
                <w:rFonts w:asciiTheme="minorHAnsi" w:eastAsiaTheme="minorHAnsi" w:hAnsiTheme="minorHAnsi" w:cstheme="minorHAnsi"/>
                <w:b/>
                <w:bCs/>
                <w:sz w:val="22"/>
                <w:szCs w:val="22"/>
              </w:rPr>
            </w:pPr>
            <w:r w:rsidRPr="0090786A">
              <w:rPr>
                <w:rFonts w:asciiTheme="minorHAnsi" w:eastAsiaTheme="minorHAnsi" w:hAnsiTheme="minorHAnsi" w:cstheme="minorHAnsi"/>
                <w:b/>
                <w:bCs/>
                <w:sz w:val="22"/>
                <w:szCs w:val="22"/>
              </w:rPr>
              <w:t>Waterbody ID</w:t>
            </w:r>
          </w:p>
        </w:tc>
        <w:tc>
          <w:tcPr>
            <w:tcW w:w="1690" w:type="dxa"/>
            <w:vAlign w:val="center"/>
          </w:tcPr>
          <w:p w14:paraId="68D29304" w14:textId="77777777" w:rsidR="00E6304D" w:rsidRPr="0090786A" w:rsidRDefault="00E6304D" w:rsidP="00C129FE">
            <w:pPr>
              <w:pStyle w:val="HESLBullet"/>
              <w:numPr>
                <w:ilvl w:val="0"/>
                <w:numId w:val="0"/>
              </w:numPr>
              <w:spacing w:after="0"/>
              <w:jc w:val="center"/>
              <w:rPr>
                <w:rFonts w:asciiTheme="minorHAnsi" w:eastAsiaTheme="minorHAnsi" w:hAnsiTheme="minorHAnsi" w:cstheme="minorHAnsi"/>
                <w:b/>
                <w:bCs/>
                <w:sz w:val="22"/>
                <w:szCs w:val="22"/>
              </w:rPr>
            </w:pPr>
            <w:r w:rsidRPr="0090786A">
              <w:rPr>
                <w:rFonts w:asciiTheme="minorHAnsi" w:eastAsiaTheme="minorHAnsi" w:hAnsiTheme="minorHAnsi" w:cstheme="minorHAnsi"/>
                <w:b/>
                <w:bCs/>
                <w:sz w:val="22"/>
                <w:szCs w:val="22"/>
              </w:rPr>
              <w:t>Calculated Surface Area (m</w:t>
            </w:r>
            <w:r w:rsidRPr="0090786A">
              <w:rPr>
                <w:rFonts w:asciiTheme="minorHAnsi" w:eastAsiaTheme="minorHAnsi" w:hAnsiTheme="minorHAnsi" w:cstheme="minorHAnsi"/>
                <w:b/>
                <w:bCs/>
                <w:sz w:val="22"/>
                <w:szCs w:val="22"/>
                <w:vertAlign w:val="superscript"/>
              </w:rPr>
              <w:t>2</w:t>
            </w:r>
            <w:r w:rsidRPr="0090786A">
              <w:rPr>
                <w:rFonts w:asciiTheme="minorHAnsi" w:eastAsiaTheme="minorHAnsi" w:hAnsiTheme="minorHAnsi" w:cstheme="minorHAnsi"/>
                <w:b/>
                <w:bCs/>
                <w:sz w:val="22"/>
                <w:szCs w:val="22"/>
              </w:rPr>
              <w:t>) (SA)</w:t>
            </w:r>
          </w:p>
        </w:tc>
        <w:tc>
          <w:tcPr>
            <w:tcW w:w="1887" w:type="dxa"/>
            <w:vAlign w:val="center"/>
          </w:tcPr>
          <w:p w14:paraId="715EE84D" w14:textId="77777777" w:rsidR="00E6304D" w:rsidRPr="0090786A" w:rsidRDefault="00E6304D" w:rsidP="00C129FE">
            <w:pPr>
              <w:pStyle w:val="HESLBullet"/>
              <w:numPr>
                <w:ilvl w:val="0"/>
                <w:numId w:val="0"/>
              </w:numPr>
              <w:spacing w:after="0"/>
              <w:jc w:val="center"/>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Total Available Water Use</w:t>
            </w:r>
            <w:r w:rsidRPr="0090786A">
              <w:rPr>
                <w:rFonts w:asciiTheme="minorHAnsi" w:eastAsiaTheme="minorHAnsi" w:hAnsiTheme="minorHAnsi" w:cstheme="minorHAnsi"/>
                <w:b/>
                <w:bCs/>
                <w:sz w:val="22"/>
                <w:szCs w:val="22"/>
              </w:rPr>
              <w:t xml:space="preserve"> (m</w:t>
            </w:r>
            <w:r w:rsidRPr="0090786A">
              <w:rPr>
                <w:rFonts w:asciiTheme="minorHAnsi" w:eastAsiaTheme="minorHAnsi" w:hAnsiTheme="minorHAnsi" w:cstheme="minorHAnsi"/>
                <w:b/>
                <w:bCs/>
                <w:sz w:val="22"/>
                <w:szCs w:val="22"/>
                <w:vertAlign w:val="superscript"/>
              </w:rPr>
              <w:t>3</w:t>
            </w:r>
            <w:r w:rsidRPr="0090786A">
              <w:rPr>
                <w:rFonts w:asciiTheme="minorHAnsi" w:eastAsiaTheme="minorHAnsi" w:hAnsiTheme="minorHAnsi" w:cstheme="minorHAnsi"/>
                <w:b/>
                <w:bCs/>
                <w:sz w:val="22"/>
                <w:szCs w:val="22"/>
              </w:rPr>
              <w:t>) (SA*0.1 m)</w:t>
            </w:r>
          </w:p>
        </w:tc>
        <w:tc>
          <w:tcPr>
            <w:tcW w:w="3181" w:type="dxa"/>
            <w:vAlign w:val="center"/>
          </w:tcPr>
          <w:p w14:paraId="6102C8BB" w14:textId="77777777" w:rsidR="00E6304D" w:rsidRPr="0090786A" w:rsidRDefault="00E6304D" w:rsidP="00C129FE">
            <w:pPr>
              <w:pStyle w:val="HESLBullet"/>
              <w:numPr>
                <w:ilvl w:val="0"/>
                <w:numId w:val="0"/>
              </w:numPr>
              <w:spacing w:after="0"/>
              <w:jc w:val="center"/>
              <w:rPr>
                <w:rFonts w:asciiTheme="minorHAnsi" w:eastAsiaTheme="minorHAnsi" w:hAnsiTheme="minorHAnsi" w:cstheme="minorHAnsi"/>
                <w:b/>
                <w:bCs/>
                <w:sz w:val="22"/>
                <w:szCs w:val="22"/>
              </w:rPr>
            </w:pPr>
            <w:r w:rsidRPr="0090786A">
              <w:rPr>
                <w:rFonts w:asciiTheme="minorHAnsi" w:eastAsiaTheme="minorHAnsi" w:hAnsiTheme="minorHAnsi" w:cstheme="minorHAnsi"/>
                <w:b/>
                <w:bCs/>
                <w:sz w:val="22"/>
                <w:szCs w:val="22"/>
              </w:rPr>
              <w:t xml:space="preserve">Comparison of Proposed </w:t>
            </w:r>
            <w:r>
              <w:rPr>
                <w:rFonts w:asciiTheme="minorHAnsi" w:eastAsiaTheme="minorHAnsi" w:hAnsiTheme="minorHAnsi" w:cstheme="minorHAnsi"/>
                <w:b/>
                <w:bCs/>
                <w:sz w:val="22"/>
                <w:szCs w:val="22"/>
              </w:rPr>
              <w:t xml:space="preserve">Annual </w:t>
            </w:r>
            <w:r w:rsidRPr="0090786A">
              <w:rPr>
                <w:rFonts w:asciiTheme="minorHAnsi" w:eastAsiaTheme="minorHAnsi" w:hAnsiTheme="minorHAnsi" w:cstheme="minorHAnsi"/>
                <w:b/>
                <w:bCs/>
                <w:sz w:val="22"/>
                <w:szCs w:val="22"/>
              </w:rPr>
              <w:t>Water Use to Estimated A</w:t>
            </w:r>
            <w:r>
              <w:rPr>
                <w:rFonts w:asciiTheme="minorHAnsi" w:eastAsiaTheme="minorHAnsi" w:hAnsiTheme="minorHAnsi" w:cstheme="minorHAnsi"/>
                <w:b/>
                <w:bCs/>
                <w:sz w:val="22"/>
                <w:szCs w:val="22"/>
              </w:rPr>
              <w:t>vailabl</w:t>
            </w:r>
            <w:r w:rsidRPr="0090786A">
              <w:rPr>
                <w:rFonts w:asciiTheme="minorHAnsi" w:eastAsiaTheme="minorHAnsi" w:hAnsiTheme="minorHAnsi" w:cstheme="minorHAnsi"/>
                <w:b/>
                <w:bCs/>
                <w:sz w:val="22"/>
                <w:szCs w:val="22"/>
              </w:rPr>
              <w:t>e Use</w:t>
            </w:r>
            <w:r>
              <w:rPr>
                <w:rFonts w:asciiTheme="minorHAnsi" w:eastAsiaTheme="minorHAnsi" w:hAnsiTheme="minorHAnsi" w:cstheme="minorHAnsi"/>
                <w:b/>
                <w:bCs/>
                <w:sz w:val="22"/>
                <w:szCs w:val="22"/>
              </w:rPr>
              <w:t xml:space="preserve"> (m</w:t>
            </w:r>
            <w:r w:rsidRPr="00233542">
              <w:rPr>
                <w:rFonts w:asciiTheme="minorHAnsi" w:eastAsiaTheme="minorHAnsi" w:hAnsiTheme="minorHAnsi" w:cstheme="minorHAnsi"/>
                <w:b/>
                <w:bCs/>
                <w:sz w:val="22"/>
                <w:szCs w:val="22"/>
                <w:vertAlign w:val="superscript"/>
              </w:rPr>
              <w:t>3</w:t>
            </w:r>
            <w:r>
              <w:rPr>
                <w:rFonts w:asciiTheme="minorHAnsi" w:eastAsiaTheme="minorHAnsi" w:hAnsiTheme="minorHAnsi" w:cstheme="minorHAnsi"/>
                <w:b/>
                <w:bCs/>
                <w:sz w:val="22"/>
                <w:szCs w:val="22"/>
              </w:rPr>
              <w:t>)</w:t>
            </w:r>
          </w:p>
        </w:tc>
      </w:tr>
      <w:tr w:rsidR="00E6304D" w:rsidRPr="0090786A" w14:paraId="3395FD4E" w14:textId="77777777" w:rsidTr="00C129FE">
        <w:trPr>
          <w:trHeight w:val="319"/>
        </w:trPr>
        <w:tc>
          <w:tcPr>
            <w:tcW w:w="1875" w:type="dxa"/>
            <w:vAlign w:val="center"/>
          </w:tcPr>
          <w:p w14:paraId="00248CDB" w14:textId="77777777" w:rsidR="00E6304D" w:rsidRPr="0090786A" w:rsidRDefault="00E6304D" w:rsidP="00C129FE">
            <w:pPr>
              <w:pStyle w:val="HESLBullet"/>
              <w:numPr>
                <w:ilvl w:val="0"/>
                <w:numId w:val="0"/>
              </w:numPr>
              <w:spacing w:after="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e.g., 1</w:t>
            </w:r>
          </w:p>
        </w:tc>
        <w:tc>
          <w:tcPr>
            <w:tcW w:w="1690" w:type="dxa"/>
            <w:vAlign w:val="center"/>
          </w:tcPr>
          <w:p w14:paraId="153C6ED3" w14:textId="77777777" w:rsidR="00E6304D" w:rsidRPr="0090786A" w:rsidRDefault="00E6304D" w:rsidP="00C129FE">
            <w:pPr>
              <w:pStyle w:val="HESLBullet"/>
              <w:numPr>
                <w:ilvl w:val="0"/>
                <w:numId w:val="0"/>
              </w:numPr>
              <w:spacing w:after="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45,000</w:t>
            </w:r>
          </w:p>
        </w:tc>
        <w:tc>
          <w:tcPr>
            <w:tcW w:w="1887" w:type="dxa"/>
            <w:vAlign w:val="center"/>
          </w:tcPr>
          <w:p w14:paraId="4A745026" w14:textId="77777777" w:rsidR="00E6304D" w:rsidRPr="0090786A" w:rsidRDefault="00E6304D" w:rsidP="00C129FE">
            <w:pPr>
              <w:pStyle w:val="HESLBullet"/>
              <w:numPr>
                <w:ilvl w:val="0"/>
                <w:numId w:val="0"/>
              </w:numPr>
              <w:spacing w:after="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4,500</w:t>
            </w:r>
          </w:p>
        </w:tc>
        <w:tc>
          <w:tcPr>
            <w:tcW w:w="3181" w:type="dxa"/>
            <w:vAlign w:val="center"/>
          </w:tcPr>
          <w:p w14:paraId="6B338C30" w14:textId="77777777" w:rsidR="00E6304D" w:rsidRPr="0090786A" w:rsidRDefault="00E6304D" w:rsidP="00C129FE">
            <w:pPr>
              <w:pStyle w:val="HESLBullet"/>
              <w:numPr>
                <w:ilvl w:val="0"/>
                <w:numId w:val="0"/>
              </w:numPr>
              <w:spacing w:after="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Any amount ≤ 4,500</w:t>
            </w:r>
          </w:p>
        </w:tc>
      </w:tr>
      <w:tr w:rsidR="00E6304D" w:rsidRPr="0090786A" w14:paraId="1A4EE39A" w14:textId="77777777" w:rsidTr="00C129FE">
        <w:trPr>
          <w:trHeight w:val="280"/>
        </w:trPr>
        <w:tc>
          <w:tcPr>
            <w:tcW w:w="1875" w:type="dxa"/>
            <w:vAlign w:val="center"/>
          </w:tcPr>
          <w:p w14:paraId="1C237A85" w14:textId="77777777" w:rsidR="00E6304D" w:rsidRPr="0090786A" w:rsidRDefault="00E6304D" w:rsidP="00C129FE">
            <w:pPr>
              <w:pStyle w:val="HESLBullet"/>
              <w:numPr>
                <w:ilvl w:val="0"/>
                <w:numId w:val="0"/>
              </w:numPr>
              <w:spacing w:after="0"/>
              <w:jc w:val="center"/>
              <w:rPr>
                <w:rFonts w:asciiTheme="minorHAnsi" w:eastAsiaTheme="minorHAnsi" w:hAnsiTheme="minorHAnsi" w:cstheme="minorHAnsi"/>
                <w:sz w:val="22"/>
                <w:szCs w:val="22"/>
              </w:rPr>
            </w:pPr>
          </w:p>
        </w:tc>
        <w:tc>
          <w:tcPr>
            <w:tcW w:w="1690" w:type="dxa"/>
            <w:vAlign w:val="center"/>
          </w:tcPr>
          <w:p w14:paraId="18200A59" w14:textId="77777777" w:rsidR="00E6304D" w:rsidRPr="0090786A" w:rsidRDefault="00E6304D" w:rsidP="00C129FE">
            <w:pPr>
              <w:pStyle w:val="HESLBullet"/>
              <w:numPr>
                <w:ilvl w:val="0"/>
                <w:numId w:val="0"/>
              </w:numPr>
              <w:spacing w:after="0"/>
              <w:jc w:val="center"/>
              <w:rPr>
                <w:rFonts w:asciiTheme="minorHAnsi" w:eastAsiaTheme="minorHAnsi" w:hAnsiTheme="minorHAnsi" w:cstheme="minorHAnsi"/>
                <w:sz w:val="22"/>
                <w:szCs w:val="22"/>
              </w:rPr>
            </w:pPr>
          </w:p>
        </w:tc>
        <w:tc>
          <w:tcPr>
            <w:tcW w:w="1887" w:type="dxa"/>
          </w:tcPr>
          <w:p w14:paraId="2039BD7E" w14:textId="77777777" w:rsidR="00E6304D" w:rsidRPr="0090786A" w:rsidRDefault="00E6304D" w:rsidP="00C129FE">
            <w:pPr>
              <w:pStyle w:val="HESLBullet"/>
              <w:numPr>
                <w:ilvl w:val="0"/>
                <w:numId w:val="0"/>
              </w:numPr>
              <w:spacing w:after="0"/>
              <w:rPr>
                <w:rFonts w:asciiTheme="minorHAnsi" w:eastAsiaTheme="minorHAnsi" w:hAnsiTheme="minorHAnsi" w:cstheme="minorHAnsi"/>
                <w:sz w:val="22"/>
                <w:szCs w:val="22"/>
              </w:rPr>
            </w:pPr>
          </w:p>
        </w:tc>
        <w:tc>
          <w:tcPr>
            <w:tcW w:w="3181" w:type="dxa"/>
          </w:tcPr>
          <w:p w14:paraId="62275759" w14:textId="77777777" w:rsidR="00E6304D" w:rsidRPr="0090786A" w:rsidRDefault="00E6304D" w:rsidP="00C129FE">
            <w:pPr>
              <w:pStyle w:val="HESLBullet"/>
              <w:numPr>
                <w:ilvl w:val="0"/>
                <w:numId w:val="0"/>
              </w:numPr>
              <w:spacing w:after="0"/>
              <w:rPr>
                <w:rFonts w:asciiTheme="minorHAnsi" w:eastAsiaTheme="minorHAnsi" w:hAnsiTheme="minorHAnsi" w:cstheme="minorHAnsi"/>
                <w:sz w:val="22"/>
                <w:szCs w:val="22"/>
              </w:rPr>
            </w:pPr>
          </w:p>
        </w:tc>
      </w:tr>
    </w:tbl>
    <w:p w14:paraId="5F7E3E7F" w14:textId="77777777" w:rsidR="00E6304D" w:rsidRPr="0090786A" w:rsidRDefault="00E6304D" w:rsidP="00E6304D">
      <w:pPr>
        <w:pStyle w:val="HESLBullet"/>
        <w:numPr>
          <w:ilvl w:val="0"/>
          <w:numId w:val="0"/>
        </w:numPr>
        <w:spacing w:after="0"/>
        <w:jc w:val="both"/>
        <w:rPr>
          <w:rFonts w:asciiTheme="minorHAnsi" w:eastAsiaTheme="minorHAnsi" w:hAnsiTheme="minorHAnsi" w:cstheme="minorHAnsi"/>
          <w:sz w:val="22"/>
          <w:szCs w:val="22"/>
          <w:u w:val="single"/>
        </w:rPr>
      </w:pPr>
    </w:p>
    <w:p w14:paraId="093066C8" w14:textId="77777777" w:rsidR="00E6304D" w:rsidRPr="0090786A" w:rsidRDefault="00E6304D" w:rsidP="00E6304D">
      <w:pPr>
        <w:pStyle w:val="HESLBullet"/>
        <w:numPr>
          <w:ilvl w:val="0"/>
          <w:numId w:val="2"/>
        </w:numPr>
        <w:spacing w:after="0"/>
        <w:ind w:left="360"/>
        <w:jc w:val="both"/>
        <w:rPr>
          <w:rFonts w:asciiTheme="minorHAnsi" w:eastAsiaTheme="minorHAnsi" w:hAnsiTheme="minorHAnsi" w:cstheme="minorHAnsi"/>
          <w:sz w:val="22"/>
          <w:szCs w:val="22"/>
          <w:u w:val="single"/>
        </w:rPr>
      </w:pPr>
      <w:r w:rsidRPr="0090786A">
        <w:rPr>
          <w:rFonts w:asciiTheme="minorHAnsi" w:eastAsiaTheme="minorHAnsi" w:hAnsiTheme="minorHAnsi" w:cstheme="minorHAnsi"/>
          <w:sz w:val="22"/>
          <w:szCs w:val="22"/>
          <w:u w:val="single"/>
        </w:rPr>
        <w:t>Field Verification</w:t>
      </w:r>
      <w:r>
        <w:rPr>
          <w:rFonts w:asciiTheme="minorHAnsi" w:eastAsiaTheme="minorHAnsi" w:hAnsiTheme="minorHAnsi" w:cstheme="minorHAnsi"/>
          <w:sz w:val="22"/>
          <w:szCs w:val="22"/>
          <w:u w:val="single"/>
        </w:rPr>
        <w:t xml:space="preserve"> Plans</w:t>
      </w:r>
    </w:p>
    <w:p w14:paraId="20E3B590" w14:textId="77777777" w:rsidR="00E6304D" w:rsidRPr="00770103" w:rsidRDefault="00E6304D" w:rsidP="00E6304D">
      <w:pPr>
        <w:pStyle w:val="ListParagraph"/>
        <w:numPr>
          <w:ilvl w:val="0"/>
          <w:numId w:val="4"/>
        </w:numPr>
        <w:rPr>
          <w:rFonts w:asciiTheme="minorHAnsi" w:eastAsiaTheme="minorHAnsi" w:hAnsiTheme="minorHAnsi" w:cstheme="minorHAnsi"/>
          <w:sz w:val="22"/>
          <w:szCs w:val="22"/>
        </w:rPr>
      </w:pPr>
      <w:r>
        <w:rPr>
          <w:rFonts w:asciiTheme="minorHAnsi" w:eastAsiaTheme="minorHAnsi" w:hAnsiTheme="minorHAnsi" w:cstheme="minorHAnsi"/>
          <w:sz w:val="22"/>
          <w:szCs w:val="22"/>
        </w:rPr>
        <w:t>Using a</w:t>
      </w:r>
      <w:r w:rsidRPr="0090786A">
        <w:rPr>
          <w:rFonts w:asciiTheme="minorHAnsi" w:eastAsiaTheme="minorHAnsi" w:hAnsiTheme="minorHAnsi" w:cstheme="minorHAnsi"/>
          <w:sz w:val="22"/>
          <w:szCs w:val="22"/>
        </w:rPr>
        <w:t>ssumed ice depths based on location in the NWT as identified in the DFO Protocol (see Table 2)</w:t>
      </w:r>
      <w:r>
        <w:rPr>
          <w:rFonts w:asciiTheme="minorHAnsi" w:eastAsiaTheme="minorHAnsi" w:hAnsiTheme="minorHAnsi" w:cstheme="minorHAnsi"/>
          <w:sz w:val="22"/>
          <w:szCs w:val="22"/>
        </w:rPr>
        <w:t xml:space="preserve">, provide a </w:t>
      </w:r>
      <w:r w:rsidRPr="0099216F">
        <w:rPr>
          <w:rFonts w:asciiTheme="minorHAnsi" w:eastAsiaTheme="minorHAnsi" w:hAnsiTheme="minorHAnsi" w:cstheme="minorHAnsi"/>
          <w:sz w:val="22"/>
          <w:szCs w:val="22"/>
        </w:rPr>
        <w:t>description of field verification plans or results demonstrating that</w:t>
      </w:r>
      <w:r>
        <w:rPr>
          <w:rFonts w:asciiTheme="minorHAnsi" w:eastAsiaTheme="minorHAnsi" w:hAnsiTheme="minorHAnsi" w:cstheme="minorHAnsi"/>
          <w:sz w:val="22"/>
          <w:szCs w:val="22"/>
        </w:rPr>
        <w:t xml:space="preserve"> </w:t>
      </w:r>
      <w:r w:rsidRPr="0099216F">
        <w:rPr>
          <w:rFonts w:asciiTheme="minorHAnsi" w:eastAsiaTheme="minorHAnsi" w:hAnsiTheme="minorHAnsi" w:cstheme="minorHAnsi"/>
          <w:sz w:val="22"/>
          <w:szCs w:val="22"/>
        </w:rPr>
        <w:t>under</w:t>
      </w:r>
      <w:r>
        <w:rPr>
          <w:rFonts w:asciiTheme="minorHAnsi" w:eastAsiaTheme="minorHAnsi" w:hAnsiTheme="minorHAnsi" w:cstheme="minorHAnsi"/>
          <w:sz w:val="22"/>
          <w:szCs w:val="22"/>
        </w:rPr>
        <w:t>-</w:t>
      </w:r>
      <w:r w:rsidRPr="0099216F">
        <w:rPr>
          <w:rFonts w:asciiTheme="minorHAnsi" w:eastAsiaTheme="minorHAnsi" w:hAnsiTheme="minorHAnsi" w:cstheme="minorHAnsi"/>
          <w:sz w:val="22"/>
          <w:szCs w:val="22"/>
        </w:rPr>
        <w:t>ice water depth is</w:t>
      </w:r>
      <w:r>
        <w:rPr>
          <w:rFonts w:asciiTheme="minorHAnsi" w:eastAsiaTheme="minorHAnsi" w:hAnsiTheme="minorHAnsi" w:cstheme="minorHAnsi"/>
          <w:sz w:val="22"/>
          <w:szCs w:val="22"/>
        </w:rPr>
        <w:t>,</w:t>
      </w:r>
      <w:r w:rsidRPr="0099216F">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at minimum,</w:t>
      </w:r>
      <w:r w:rsidRPr="0099216F">
        <w:rPr>
          <w:rFonts w:asciiTheme="minorHAnsi" w:eastAsiaTheme="minorHAnsi" w:hAnsiTheme="minorHAnsi" w:cstheme="minorHAnsi"/>
          <w:sz w:val="22"/>
          <w:szCs w:val="22"/>
        </w:rPr>
        <w:t xml:space="preserve"> 1.5 m</w:t>
      </w:r>
      <w:r>
        <w:rPr>
          <w:rFonts w:asciiTheme="minorHAnsi" w:eastAsiaTheme="minorHAnsi" w:hAnsiTheme="minorHAnsi" w:cstheme="minorHAnsi"/>
          <w:sz w:val="22"/>
          <w:szCs w:val="22"/>
        </w:rPr>
        <w:t>. This must be</w:t>
      </w:r>
      <w:r w:rsidRPr="0099216F">
        <w:rPr>
          <w:rFonts w:asciiTheme="minorHAnsi" w:eastAsiaTheme="minorHAnsi" w:hAnsiTheme="minorHAnsi" w:cstheme="minorHAnsi"/>
          <w:sz w:val="22"/>
          <w:szCs w:val="22"/>
        </w:rPr>
        <w:t xml:space="preserve"> measured in at least </w:t>
      </w:r>
      <w:r>
        <w:rPr>
          <w:rFonts w:asciiTheme="minorHAnsi" w:hAnsiTheme="minorHAnsi" w:cstheme="minorHAnsi"/>
          <w:sz w:val="22"/>
          <w:szCs w:val="22"/>
        </w:rPr>
        <w:t>three</w:t>
      </w:r>
      <w:r w:rsidRPr="0099216F">
        <w:rPr>
          <w:rFonts w:asciiTheme="minorHAnsi" w:hAnsiTheme="minorHAnsi" w:cstheme="minorHAnsi"/>
          <w:sz w:val="22"/>
          <w:szCs w:val="22"/>
        </w:rPr>
        <w:t xml:space="preserve"> locations &gt;20 m from shore and </w:t>
      </w:r>
      <w:r>
        <w:rPr>
          <w:rFonts w:asciiTheme="minorHAnsi" w:hAnsiTheme="minorHAnsi" w:cstheme="minorHAnsi"/>
          <w:sz w:val="22"/>
          <w:szCs w:val="22"/>
        </w:rPr>
        <w:t xml:space="preserve">approximately </w:t>
      </w:r>
      <w:r w:rsidRPr="0099216F">
        <w:rPr>
          <w:rFonts w:asciiTheme="minorHAnsi" w:hAnsiTheme="minorHAnsi" w:cstheme="minorHAnsi"/>
          <w:sz w:val="22"/>
          <w:szCs w:val="22"/>
        </w:rPr>
        <w:t>20 m apart;</w:t>
      </w:r>
      <w:r>
        <w:rPr>
          <w:rFonts w:asciiTheme="minorHAnsi" w:hAnsiTheme="minorHAnsi" w:cstheme="minorHAnsi"/>
          <w:sz w:val="22"/>
          <w:szCs w:val="22"/>
        </w:rPr>
        <w:t xml:space="preserve"> and</w:t>
      </w:r>
    </w:p>
    <w:p w14:paraId="5AB923E9" w14:textId="77777777" w:rsidR="00E6304D" w:rsidRPr="0090786A" w:rsidRDefault="00E6304D" w:rsidP="00E6304D">
      <w:pPr>
        <w:pStyle w:val="ListParagraph"/>
        <w:numPr>
          <w:ilvl w:val="0"/>
          <w:numId w:val="4"/>
        </w:numPr>
        <w:rPr>
          <w:rFonts w:asciiTheme="minorHAnsi" w:eastAsiaTheme="minorHAnsi" w:hAnsiTheme="minorHAnsi" w:cstheme="minorHAnsi"/>
          <w:sz w:val="22"/>
          <w:szCs w:val="22"/>
        </w:rPr>
      </w:pPr>
      <w:r w:rsidRPr="00770103">
        <w:rPr>
          <w:rFonts w:asciiTheme="minorHAnsi" w:eastAsiaTheme="minorHAnsi" w:hAnsiTheme="minorHAnsi" w:cstheme="minorHAnsi"/>
          <w:sz w:val="22"/>
          <w:szCs w:val="22"/>
        </w:rPr>
        <w:t xml:space="preserve">A description of field verification plans for tracking water use to ensure water volume limits are </w:t>
      </w:r>
      <w:r>
        <w:rPr>
          <w:rFonts w:asciiTheme="minorHAnsi" w:eastAsiaTheme="minorHAnsi" w:hAnsiTheme="minorHAnsi" w:cstheme="minorHAnsi"/>
          <w:sz w:val="22"/>
          <w:szCs w:val="22"/>
        </w:rPr>
        <w:t>not exceeded.</w:t>
      </w:r>
    </w:p>
    <w:p w14:paraId="0BA3903E" w14:textId="77777777" w:rsidR="00E6304D" w:rsidRPr="0090786A" w:rsidRDefault="00E6304D" w:rsidP="00E6304D">
      <w:pPr>
        <w:pStyle w:val="ListParagraph"/>
        <w:rPr>
          <w:rFonts w:asciiTheme="minorHAnsi" w:eastAsiaTheme="minorHAnsi" w:hAnsiTheme="minorHAnsi" w:cstheme="minorHAnsi"/>
          <w:sz w:val="22"/>
          <w:szCs w:val="22"/>
        </w:rPr>
      </w:pPr>
    </w:p>
    <w:p w14:paraId="1CE151E6" w14:textId="77777777" w:rsidR="00E6304D" w:rsidRPr="0090786A" w:rsidRDefault="00E6304D" w:rsidP="00E6304D">
      <w:pPr>
        <w:pStyle w:val="ListParagraph"/>
        <w:rPr>
          <w:rFonts w:asciiTheme="minorHAnsi" w:eastAsiaTheme="minorHAnsi" w:hAnsiTheme="minorHAnsi" w:cstheme="minorHAnsi"/>
          <w:b/>
          <w:bCs/>
          <w:sz w:val="22"/>
          <w:szCs w:val="22"/>
        </w:rPr>
      </w:pPr>
      <w:r w:rsidRPr="0090786A">
        <w:rPr>
          <w:rFonts w:asciiTheme="minorHAnsi" w:eastAsiaTheme="minorHAnsi" w:hAnsiTheme="minorHAnsi" w:cstheme="minorHAnsi"/>
          <w:b/>
          <w:bCs/>
          <w:sz w:val="22"/>
          <w:szCs w:val="22"/>
        </w:rPr>
        <w:t>Table 2: Assumed Ice Depths by Location</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2163"/>
        <w:gridCol w:w="2268"/>
      </w:tblGrid>
      <w:tr w:rsidR="00E6304D" w:rsidRPr="0090786A" w14:paraId="7352BBE2" w14:textId="77777777" w:rsidTr="00C129FE">
        <w:tc>
          <w:tcPr>
            <w:tcW w:w="3775" w:type="dxa"/>
            <w:gridSpan w:val="2"/>
            <w:vAlign w:val="center"/>
          </w:tcPr>
          <w:p w14:paraId="0B0FA0F3" w14:textId="77777777" w:rsidR="00E6304D" w:rsidRPr="0090786A" w:rsidRDefault="00E6304D" w:rsidP="00C129FE">
            <w:pPr>
              <w:pStyle w:val="ListParagraph"/>
              <w:ind w:left="0"/>
              <w:jc w:val="center"/>
              <w:rPr>
                <w:rFonts w:asciiTheme="minorHAnsi" w:eastAsiaTheme="minorHAnsi" w:hAnsiTheme="minorHAnsi" w:cstheme="minorHAnsi"/>
                <w:b/>
                <w:bCs/>
                <w:sz w:val="22"/>
                <w:szCs w:val="22"/>
              </w:rPr>
            </w:pPr>
            <w:r w:rsidRPr="0090786A">
              <w:rPr>
                <w:rFonts w:asciiTheme="minorHAnsi" w:eastAsiaTheme="minorHAnsi" w:hAnsiTheme="minorHAnsi" w:cstheme="minorHAnsi"/>
                <w:b/>
                <w:bCs/>
                <w:sz w:val="22"/>
                <w:szCs w:val="22"/>
              </w:rPr>
              <w:t>Region</w:t>
            </w:r>
          </w:p>
        </w:tc>
        <w:tc>
          <w:tcPr>
            <w:tcW w:w="2163" w:type="dxa"/>
            <w:vAlign w:val="center"/>
          </w:tcPr>
          <w:p w14:paraId="719E4D30" w14:textId="77777777" w:rsidR="00E6304D" w:rsidRPr="0090786A" w:rsidRDefault="00E6304D" w:rsidP="00C129FE">
            <w:pPr>
              <w:pStyle w:val="ListParagraph"/>
              <w:ind w:left="0"/>
              <w:jc w:val="center"/>
              <w:rPr>
                <w:rFonts w:asciiTheme="minorHAnsi" w:eastAsiaTheme="minorHAnsi" w:hAnsiTheme="minorHAnsi" w:cstheme="minorHAnsi"/>
                <w:b/>
                <w:bCs/>
                <w:sz w:val="22"/>
                <w:szCs w:val="22"/>
              </w:rPr>
            </w:pPr>
            <w:r w:rsidRPr="0090786A">
              <w:rPr>
                <w:rFonts w:asciiTheme="minorHAnsi" w:eastAsiaTheme="minorHAnsi" w:hAnsiTheme="minorHAnsi" w:cstheme="minorHAnsi"/>
                <w:b/>
                <w:bCs/>
                <w:sz w:val="22"/>
                <w:szCs w:val="22"/>
              </w:rPr>
              <w:t>Maximum Expected Ice Thickness (m)</w:t>
            </w:r>
          </w:p>
        </w:tc>
        <w:tc>
          <w:tcPr>
            <w:tcW w:w="2268" w:type="dxa"/>
            <w:vAlign w:val="center"/>
          </w:tcPr>
          <w:p w14:paraId="61040C24" w14:textId="77777777" w:rsidR="00E6304D" w:rsidRPr="0090786A" w:rsidRDefault="00E6304D" w:rsidP="00C129FE">
            <w:pPr>
              <w:pStyle w:val="ListParagraph"/>
              <w:ind w:left="0"/>
              <w:jc w:val="center"/>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Minimum </w:t>
            </w:r>
            <w:r w:rsidRPr="0090786A">
              <w:rPr>
                <w:rFonts w:asciiTheme="minorHAnsi" w:eastAsiaTheme="minorHAnsi" w:hAnsiTheme="minorHAnsi" w:cstheme="minorHAnsi"/>
                <w:b/>
                <w:bCs/>
                <w:sz w:val="22"/>
                <w:szCs w:val="22"/>
              </w:rPr>
              <w:t>Waterbody Depth Required</w:t>
            </w:r>
            <w:r>
              <w:rPr>
                <w:rFonts w:asciiTheme="minorHAnsi" w:eastAsiaTheme="minorHAnsi" w:hAnsiTheme="minorHAnsi" w:cstheme="minorHAnsi"/>
                <w:b/>
                <w:bCs/>
                <w:sz w:val="22"/>
                <w:szCs w:val="22"/>
              </w:rPr>
              <w:t>*</w:t>
            </w:r>
            <w:r w:rsidRPr="0090786A">
              <w:rPr>
                <w:rFonts w:asciiTheme="minorHAnsi" w:eastAsiaTheme="minorHAnsi" w:hAnsiTheme="minorHAnsi" w:cstheme="minorHAnsi"/>
                <w:b/>
                <w:bCs/>
                <w:sz w:val="22"/>
                <w:szCs w:val="22"/>
              </w:rPr>
              <w:t xml:space="preserve"> (m)</w:t>
            </w:r>
          </w:p>
        </w:tc>
      </w:tr>
      <w:tr w:rsidR="00E6304D" w:rsidRPr="0090786A" w14:paraId="518841C6" w14:textId="77777777" w:rsidTr="00C129FE">
        <w:tc>
          <w:tcPr>
            <w:tcW w:w="2515" w:type="dxa"/>
            <w:vMerge w:val="restart"/>
            <w:vAlign w:val="center"/>
          </w:tcPr>
          <w:p w14:paraId="47FEC224"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M</w:t>
            </w:r>
            <w:r w:rsidRPr="0072507B">
              <w:rPr>
                <w:rFonts w:asciiTheme="minorHAnsi" w:eastAsiaTheme="minorHAnsi" w:hAnsiTheme="minorHAnsi" w:cstheme="minorHAnsi"/>
                <w:sz w:val="22"/>
                <w:szCs w:val="22"/>
              </w:rPr>
              <w:t>ap</w:t>
            </w:r>
          </w:p>
        </w:tc>
        <w:tc>
          <w:tcPr>
            <w:tcW w:w="1260" w:type="dxa"/>
            <w:vAlign w:val="center"/>
          </w:tcPr>
          <w:p w14:paraId="136AAE6E" w14:textId="77777777" w:rsidR="00E6304D" w:rsidRPr="0090786A" w:rsidRDefault="00E6304D" w:rsidP="00C129FE">
            <w:pPr>
              <w:pStyle w:val="ListParagraph"/>
              <w:spacing w:after="120"/>
              <w:ind w:left="0"/>
              <w:contextualSpacing w:val="0"/>
              <w:jc w:val="center"/>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North NWT:</w:t>
            </w:r>
          </w:p>
          <w:p w14:paraId="7EB27325"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Above the Tree Line</w:t>
            </w:r>
          </w:p>
        </w:tc>
        <w:tc>
          <w:tcPr>
            <w:tcW w:w="2163" w:type="dxa"/>
            <w:vAlign w:val="center"/>
          </w:tcPr>
          <w:p w14:paraId="1EF853B2"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2.0</w:t>
            </w:r>
          </w:p>
        </w:tc>
        <w:tc>
          <w:tcPr>
            <w:tcW w:w="2268" w:type="dxa"/>
            <w:vAlign w:val="center"/>
          </w:tcPr>
          <w:p w14:paraId="37AF93E1" w14:textId="77777777" w:rsidR="00E6304D" w:rsidRPr="0090786A" w:rsidRDefault="00E6304D" w:rsidP="00C129FE">
            <w:pPr>
              <w:pStyle w:val="ListParagraph"/>
              <w:ind w:left="0"/>
              <w:rPr>
                <w:rFonts w:asciiTheme="minorHAnsi" w:eastAsiaTheme="minorHAnsi" w:hAnsiTheme="minorHAnsi" w:cstheme="minorHAnsi"/>
                <w:sz w:val="22"/>
                <w:szCs w:val="22"/>
              </w:rPr>
            </w:pPr>
          </w:p>
          <w:p w14:paraId="65C8EBC3"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3.5</w:t>
            </w:r>
          </w:p>
          <w:p w14:paraId="68098D8D"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p>
        </w:tc>
      </w:tr>
      <w:tr w:rsidR="00E6304D" w:rsidRPr="0090786A" w14:paraId="14927A14" w14:textId="77777777" w:rsidTr="00C129FE">
        <w:tc>
          <w:tcPr>
            <w:tcW w:w="2515" w:type="dxa"/>
            <w:vMerge/>
          </w:tcPr>
          <w:p w14:paraId="735023D1"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p>
        </w:tc>
        <w:tc>
          <w:tcPr>
            <w:tcW w:w="1260" w:type="dxa"/>
            <w:vAlign w:val="center"/>
          </w:tcPr>
          <w:p w14:paraId="647AEF6D" w14:textId="77777777" w:rsidR="00E6304D" w:rsidRPr="0090786A" w:rsidRDefault="00E6304D" w:rsidP="00C129FE">
            <w:pPr>
              <w:pStyle w:val="ListParagraph"/>
              <w:spacing w:after="120"/>
              <w:ind w:left="0"/>
              <w:contextualSpacing w:val="0"/>
              <w:jc w:val="center"/>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 xml:space="preserve">Mid NWT: </w:t>
            </w:r>
          </w:p>
          <w:p w14:paraId="5B401504"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Fort Simpson to the Tree Line</w:t>
            </w:r>
          </w:p>
        </w:tc>
        <w:tc>
          <w:tcPr>
            <w:tcW w:w="2163" w:type="dxa"/>
            <w:vAlign w:val="center"/>
          </w:tcPr>
          <w:p w14:paraId="44733449"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1.5</w:t>
            </w:r>
          </w:p>
        </w:tc>
        <w:tc>
          <w:tcPr>
            <w:tcW w:w="2268" w:type="dxa"/>
            <w:vAlign w:val="center"/>
          </w:tcPr>
          <w:p w14:paraId="12A9BBB3"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3.0</w:t>
            </w:r>
          </w:p>
        </w:tc>
      </w:tr>
      <w:tr w:rsidR="00E6304D" w:rsidRPr="0090786A" w14:paraId="59901B57" w14:textId="77777777" w:rsidTr="00C129FE">
        <w:tc>
          <w:tcPr>
            <w:tcW w:w="2515" w:type="dxa"/>
            <w:vMerge/>
          </w:tcPr>
          <w:p w14:paraId="5261FFA5"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p>
        </w:tc>
        <w:tc>
          <w:tcPr>
            <w:tcW w:w="1260" w:type="dxa"/>
            <w:vAlign w:val="center"/>
          </w:tcPr>
          <w:p w14:paraId="1499477E" w14:textId="77777777" w:rsidR="00E6304D" w:rsidRPr="0090786A" w:rsidRDefault="00E6304D" w:rsidP="00C129FE">
            <w:pPr>
              <w:pStyle w:val="ListParagraph"/>
              <w:spacing w:after="120"/>
              <w:ind w:left="0"/>
              <w:contextualSpacing w:val="0"/>
              <w:jc w:val="center"/>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South NWT:</w:t>
            </w:r>
          </w:p>
          <w:p w14:paraId="57586B7D"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Dehcho – South of Fort Simpson</w:t>
            </w:r>
          </w:p>
        </w:tc>
        <w:tc>
          <w:tcPr>
            <w:tcW w:w="2163" w:type="dxa"/>
            <w:vAlign w:val="center"/>
          </w:tcPr>
          <w:p w14:paraId="76207585"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r w:rsidRPr="0090786A">
              <w:rPr>
                <w:rFonts w:asciiTheme="minorHAnsi" w:eastAsiaTheme="minorHAnsi" w:hAnsiTheme="minorHAnsi" w:cstheme="minorHAnsi"/>
                <w:sz w:val="22"/>
                <w:szCs w:val="22"/>
              </w:rPr>
              <w:t>1.0</w:t>
            </w:r>
          </w:p>
        </w:tc>
        <w:tc>
          <w:tcPr>
            <w:tcW w:w="2268" w:type="dxa"/>
            <w:vAlign w:val="center"/>
          </w:tcPr>
          <w:p w14:paraId="56496AB9" w14:textId="77777777" w:rsidR="00E6304D" w:rsidRPr="0090786A" w:rsidRDefault="00E6304D" w:rsidP="00C129FE">
            <w:pPr>
              <w:pStyle w:val="ListParagraph"/>
              <w:ind w:left="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3.0</w:t>
            </w:r>
          </w:p>
        </w:tc>
      </w:tr>
    </w:tbl>
    <w:p w14:paraId="0875B42C" w14:textId="77777777" w:rsidR="00E6304D" w:rsidRPr="00770103" w:rsidRDefault="00E6304D" w:rsidP="00E6304D">
      <w:pPr>
        <w:pStyle w:val="HESLBullet"/>
        <w:numPr>
          <w:ilvl w:val="0"/>
          <w:numId w:val="0"/>
        </w:numPr>
        <w:rPr>
          <w:rFonts w:asciiTheme="minorHAnsi" w:eastAsiaTheme="minorHAnsi" w:hAnsiTheme="minorHAnsi" w:cstheme="minorHAnsi"/>
        </w:rPr>
      </w:pPr>
      <w:r w:rsidRPr="00770103">
        <w:rPr>
          <w:rFonts w:asciiTheme="minorHAnsi" w:eastAsiaTheme="minorHAnsi" w:hAnsiTheme="minorHAnsi" w:cstheme="minorHAnsi"/>
        </w:rPr>
        <w:t>*Minimum water body depth is equal to the maximum expected ice thickness plus 1.5 m of water below the ice, or 3.0 m, whichever is greater.</w:t>
      </w:r>
    </w:p>
    <w:p w14:paraId="268DAE1D" w14:textId="77777777" w:rsidR="00E6304D" w:rsidRDefault="00E6304D" w:rsidP="00E6304D">
      <w:pPr>
        <w:pStyle w:val="HESLBullet"/>
        <w:numPr>
          <w:ilvl w:val="0"/>
          <w:numId w:val="0"/>
        </w:numPr>
        <w:ind w:left="360" w:hanging="360"/>
        <w:rPr>
          <w:rFonts w:asciiTheme="minorHAnsi" w:eastAsiaTheme="minorHAnsi" w:hAnsiTheme="minorHAnsi" w:cstheme="minorHAnsi"/>
          <w:b/>
          <w:bCs/>
          <w:sz w:val="22"/>
          <w:szCs w:val="22"/>
        </w:rPr>
      </w:pPr>
    </w:p>
    <w:p w14:paraId="245D55DE" w14:textId="77777777" w:rsidR="00E6304D" w:rsidRPr="0090786A" w:rsidRDefault="00E6304D" w:rsidP="00E6304D">
      <w:pPr>
        <w:pStyle w:val="HESLBullet"/>
        <w:numPr>
          <w:ilvl w:val="0"/>
          <w:numId w:val="0"/>
        </w:numPr>
        <w:ind w:left="360" w:hanging="360"/>
        <w:jc w:val="both"/>
        <w:rPr>
          <w:rFonts w:asciiTheme="minorHAnsi" w:eastAsiaTheme="minorHAnsi" w:hAnsiTheme="minorHAnsi" w:cstheme="minorHAnsi"/>
          <w:b/>
          <w:bCs/>
          <w:sz w:val="22"/>
          <w:szCs w:val="22"/>
        </w:rPr>
      </w:pPr>
      <w:r w:rsidRPr="0090786A">
        <w:rPr>
          <w:rFonts w:asciiTheme="minorHAnsi" w:eastAsiaTheme="minorHAnsi" w:hAnsiTheme="minorHAnsi" w:cstheme="minorHAnsi"/>
          <w:b/>
          <w:bCs/>
          <w:sz w:val="22"/>
          <w:szCs w:val="22"/>
        </w:rPr>
        <w:lastRenderedPageBreak/>
        <w:t>Rationale</w:t>
      </w:r>
    </w:p>
    <w:p w14:paraId="2BB3FC7E" w14:textId="77777777" w:rsidR="00E6304D" w:rsidRPr="0090786A" w:rsidRDefault="00E6304D" w:rsidP="00E6304D">
      <w:pPr>
        <w:pStyle w:val="HESLBullet"/>
        <w:numPr>
          <w:ilvl w:val="0"/>
          <w:numId w:val="0"/>
        </w:numPr>
        <w:jc w:val="both"/>
        <w:rPr>
          <w:rFonts w:asciiTheme="minorHAnsi" w:hAnsiTheme="minorHAnsi" w:cstheme="minorHAnsi"/>
          <w:sz w:val="22"/>
          <w:szCs w:val="22"/>
        </w:rPr>
      </w:pPr>
      <w:r>
        <w:rPr>
          <w:rFonts w:asciiTheme="minorHAnsi" w:eastAsiaTheme="minorHAnsi" w:hAnsiTheme="minorHAnsi" w:cstheme="minorHAnsi"/>
          <w:sz w:val="22"/>
          <w:szCs w:val="22"/>
        </w:rPr>
        <w:t>The Boards and GNWT-ENR consider the above approach</w:t>
      </w:r>
      <w:r w:rsidRPr="0090786A">
        <w:rPr>
          <w:rFonts w:asciiTheme="minorHAnsi" w:eastAsiaTheme="minorHAnsi" w:hAnsiTheme="minorHAnsi" w:cstheme="minorHAnsi"/>
          <w:sz w:val="22"/>
          <w:szCs w:val="22"/>
        </w:rPr>
        <w:t xml:space="preserve"> to be conservative for the following reasons:</w:t>
      </w:r>
    </w:p>
    <w:p w14:paraId="32EA3542" w14:textId="77777777" w:rsidR="00E6304D" w:rsidRPr="00ED2E6A" w:rsidRDefault="00E6304D" w:rsidP="00E6304D">
      <w:pPr>
        <w:pStyle w:val="HESLBullet"/>
        <w:numPr>
          <w:ilvl w:val="0"/>
          <w:numId w:val="3"/>
        </w:numPr>
        <w:jc w:val="both"/>
        <w:rPr>
          <w:rFonts w:asciiTheme="minorHAnsi" w:hAnsiTheme="minorHAnsi" w:cstheme="minorHAnsi"/>
          <w:sz w:val="22"/>
          <w:szCs w:val="22"/>
        </w:rPr>
      </w:pPr>
      <w:r w:rsidRPr="0090786A">
        <w:rPr>
          <w:rFonts w:asciiTheme="minorHAnsi" w:hAnsiTheme="minorHAnsi" w:cstheme="minorHAnsi"/>
          <w:sz w:val="22"/>
          <w:szCs w:val="22"/>
        </w:rPr>
        <w:t>The DFO Protocol</w:t>
      </w:r>
      <w:r>
        <w:rPr>
          <w:rFonts w:asciiTheme="minorHAnsi" w:hAnsiTheme="minorHAnsi" w:cstheme="minorHAnsi"/>
          <w:sz w:val="22"/>
          <w:szCs w:val="22"/>
        </w:rPr>
        <w:t xml:space="preserve"> statistically estimated maximum </w:t>
      </w:r>
      <w:r w:rsidRPr="0090786A">
        <w:rPr>
          <w:rFonts w:asciiTheme="minorHAnsi" w:hAnsiTheme="minorHAnsi" w:cstheme="minorHAnsi"/>
          <w:sz w:val="22"/>
          <w:szCs w:val="22"/>
        </w:rPr>
        <w:t xml:space="preserve">ice thicknesses </w:t>
      </w:r>
      <w:r w:rsidRPr="00ED2E6A">
        <w:rPr>
          <w:rFonts w:asciiTheme="minorHAnsi" w:hAnsiTheme="minorHAnsi" w:cstheme="minorHAnsi"/>
          <w:sz w:val="22"/>
          <w:szCs w:val="22"/>
        </w:rPr>
        <w:t>using long term data from Environment Canada: Water Survey of Canada and Canadian Ice Services</w:t>
      </w:r>
      <w:r>
        <w:rPr>
          <w:rFonts w:asciiTheme="minorHAnsi" w:hAnsiTheme="minorHAnsi" w:cstheme="minorHAnsi"/>
          <w:sz w:val="22"/>
          <w:szCs w:val="22"/>
        </w:rPr>
        <w:t xml:space="preserve">, which </w:t>
      </w:r>
      <w:r w:rsidRPr="0090786A">
        <w:rPr>
          <w:rFonts w:asciiTheme="minorHAnsi" w:hAnsiTheme="minorHAnsi" w:cstheme="minorHAnsi"/>
          <w:sz w:val="22"/>
          <w:szCs w:val="22"/>
        </w:rPr>
        <w:t>are maximum thicknesses based on field observations</w:t>
      </w:r>
      <w:r>
        <w:rPr>
          <w:rFonts w:asciiTheme="minorHAnsi" w:hAnsiTheme="minorHAnsi" w:cstheme="minorHAnsi"/>
          <w:sz w:val="22"/>
          <w:szCs w:val="22"/>
        </w:rPr>
        <w:t xml:space="preserve"> </w:t>
      </w:r>
      <w:r w:rsidRPr="0090786A">
        <w:rPr>
          <w:rFonts w:asciiTheme="minorHAnsi" w:hAnsiTheme="minorHAnsi" w:cstheme="minorHAnsi"/>
          <w:sz w:val="22"/>
          <w:szCs w:val="22"/>
        </w:rPr>
        <w:t>(</w:t>
      </w:r>
      <w:proofErr w:type="spellStart"/>
      <w:r w:rsidRPr="0090786A">
        <w:rPr>
          <w:rFonts w:asciiTheme="minorHAnsi" w:hAnsiTheme="minorHAnsi" w:cstheme="minorHAnsi"/>
          <w:sz w:val="22"/>
          <w:szCs w:val="22"/>
        </w:rPr>
        <w:t>Cott</w:t>
      </w:r>
      <w:proofErr w:type="spellEnd"/>
      <w:r w:rsidRPr="0090786A">
        <w:rPr>
          <w:rFonts w:asciiTheme="minorHAnsi" w:hAnsiTheme="minorHAnsi" w:cstheme="minorHAnsi"/>
          <w:sz w:val="22"/>
          <w:szCs w:val="22"/>
        </w:rPr>
        <w:t xml:space="preserve"> et al. 2005</w:t>
      </w:r>
      <w:proofErr w:type="gramStart"/>
      <w:r w:rsidRPr="0090786A">
        <w:rPr>
          <w:rFonts w:asciiTheme="minorHAnsi" w:hAnsiTheme="minorHAnsi" w:cstheme="minorHAnsi"/>
          <w:sz w:val="22"/>
          <w:szCs w:val="22"/>
        </w:rPr>
        <w:t>)</w:t>
      </w:r>
      <w:r>
        <w:rPr>
          <w:rFonts w:asciiTheme="minorHAnsi" w:hAnsiTheme="minorHAnsi" w:cstheme="minorHAnsi"/>
          <w:sz w:val="22"/>
          <w:szCs w:val="22"/>
        </w:rPr>
        <w:t>;</w:t>
      </w:r>
      <w:proofErr w:type="gramEnd"/>
      <w:r w:rsidRPr="0090786A">
        <w:rPr>
          <w:rFonts w:asciiTheme="minorHAnsi" w:hAnsiTheme="minorHAnsi" w:cstheme="minorHAnsi"/>
          <w:sz w:val="22"/>
          <w:szCs w:val="22"/>
        </w:rPr>
        <w:t xml:space="preserve"> </w:t>
      </w:r>
    </w:p>
    <w:p w14:paraId="5E09E364" w14:textId="77777777" w:rsidR="00E6304D" w:rsidRPr="00ED2E6A" w:rsidRDefault="00E6304D" w:rsidP="00E6304D">
      <w:pPr>
        <w:pStyle w:val="HESLBullet"/>
        <w:numPr>
          <w:ilvl w:val="0"/>
          <w:numId w:val="3"/>
        </w:numPr>
        <w:jc w:val="both"/>
        <w:rPr>
          <w:rFonts w:asciiTheme="minorHAnsi" w:hAnsiTheme="minorHAnsi" w:cstheme="minorHAnsi"/>
          <w:sz w:val="22"/>
          <w:szCs w:val="22"/>
        </w:rPr>
      </w:pPr>
      <w:r w:rsidRPr="00ED2E6A">
        <w:rPr>
          <w:rFonts w:asciiTheme="minorHAnsi" w:hAnsiTheme="minorHAnsi" w:cstheme="minorHAnsi"/>
          <w:sz w:val="22"/>
          <w:szCs w:val="22"/>
        </w:rPr>
        <w:t xml:space="preserve">The 10% maximum allowable </w:t>
      </w:r>
      <w:r>
        <w:rPr>
          <w:rFonts w:asciiTheme="minorHAnsi" w:hAnsiTheme="minorHAnsi" w:cstheme="minorHAnsi"/>
          <w:sz w:val="22"/>
          <w:szCs w:val="22"/>
        </w:rPr>
        <w:t xml:space="preserve">under-ice </w:t>
      </w:r>
      <w:r w:rsidRPr="00ED2E6A">
        <w:rPr>
          <w:rFonts w:asciiTheme="minorHAnsi" w:hAnsiTheme="minorHAnsi" w:cstheme="minorHAnsi"/>
          <w:sz w:val="22"/>
          <w:szCs w:val="22"/>
        </w:rPr>
        <w:t xml:space="preserve">water volume </w:t>
      </w:r>
      <w:r>
        <w:rPr>
          <w:rFonts w:asciiTheme="minorHAnsi" w:hAnsiTheme="minorHAnsi" w:cstheme="minorHAnsi"/>
          <w:sz w:val="22"/>
          <w:szCs w:val="22"/>
        </w:rPr>
        <w:t xml:space="preserve">supported the DFO Protocol was </w:t>
      </w:r>
      <w:r w:rsidRPr="00ED2E6A">
        <w:rPr>
          <w:rFonts w:asciiTheme="minorHAnsi" w:hAnsiTheme="minorHAnsi" w:cstheme="minorHAnsi"/>
          <w:sz w:val="22"/>
          <w:szCs w:val="22"/>
        </w:rPr>
        <w:t>established based on field observations with no effects measured on fish or fish habitat (</w:t>
      </w:r>
      <w:proofErr w:type="spellStart"/>
      <w:r w:rsidRPr="00ED2E6A">
        <w:rPr>
          <w:rFonts w:asciiTheme="minorHAnsi" w:hAnsiTheme="minorHAnsi" w:cstheme="minorHAnsi"/>
          <w:sz w:val="22"/>
          <w:szCs w:val="22"/>
        </w:rPr>
        <w:t>Cott</w:t>
      </w:r>
      <w:proofErr w:type="spellEnd"/>
      <w:r w:rsidRPr="00ED2E6A">
        <w:rPr>
          <w:rFonts w:asciiTheme="minorHAnsi" w:hAnsiTheme="minorHAnsi" w:cstheme="minorHAnsi"/>
          <w:sz w:val="22"/>
          <w:szCs w:val="22"/>
        </w:rPr>
        <w:t xml:space="preserve"> et al. 2008)</w:t>
      </w:r>
      <w:r>
        <w:rPr>
          <w:rStyle w:val="FootnoteReference"/>
          <w:rFonts w:asciiTheme="minorHAnsi" w:hAnsiTheme="minorHAnsi" w:cstheme="minorHAnsi"/>
          <w:sz w:val="22"/>
          <w:szCs w:val="22"/>
        </w:rPr>
        <w:footnoteReference w:id="3"/>
      </w:r>
      <w:r w:rsidRPr="00ED2E6A">
        <w:rPr>
          <w:rFonts w:asciiTheme="minorHAnsi" w:hAnsiTheme="minorHAnsi" w:cstheme="minorHAnsi"/>
          <w:sz w:val="22"/>
          <w:szCs w:val="22"/>
        </w:rPr>
        <w:t>;</w:t>
      </w:r>
    </w:p>
    <w:p w14:paraId="3C6558EE" w14:textId="77777777" w:rsidR="00E6304D" w:rsidRDefault="00E6304D" w:rsidP="00E6304D">
      <w:pPr>
        <w:pStyle w:val="HESLBulle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Lakes with an average depth of 2.7 m have been demonstrated to remain below the available 10% withdrawal limits using the 10 cm water taking calculation method described above (see </w:t>
      </w:r>
      <w:r>
        <w:rPr>
          <w:rFonts w:asciiTheme="minorHAnsi" w:eastAsiaTheme="minorHAnsi" w:hAnsiTheme="minorHAnsi" w:cstheme="minorHAnsi"/>
          <w:sz w:val="22"/>
          <w:szCs w:val="22"/>
        </w:rPr>
        <w:t>the accompanying Technical Reference Document for more)</w:t>
      </w:r>
      <w:r>
        <w:rPr>
          <w:rFonts w:asciiTheme="minorHAnsi" w:hAnsiTheme="minorHAnsi" w:cstheme="minorHAnsi"/>
          <w:sz w:val="22"/>
          <w:szCs w:val="22"/>
        </w:rPr>
        <w:t xml:space="preserve">. This threshold was increased to 3 </w:t>
      </w:r>
      <w:proofErr w:type="gramStart"/>
      <w:r>
        <w:rPr>
          <w:rFonts w:asciiTheme="minorHAnsi" w:hAnsiTheme="minorHAnsi" w:cstheme="minorHAnsi"/>
          <w:sz w:val="22"/>
          <w:szCs w:val="22"/>
        </w:rPr>
        <w:t>m;</w:t>
      </w:r>
      <w:proofErr w:type="gramEnd"/>
    </w:p>
    <w:p w14:paraId="171187FE" w14:textId="77777777" w:rsidR="00E6304D" w:rsidRDefault="00E6304D" w:rsidP="00E6304D">
      <w:pPr>
        <w:pStyle w:val="HESLBullet"/>
        <w:numPr>
          <w:ilvl w:val="1"/>
          <w:numId w:val="3"/>
        </w:numPr>
        <w:jc w:val="both"/>
        <w:rPr>
          <w:rFonts w:asciiTheme="minorHAnsi" w:hAnsiTheme="minorHAnsi" w:cstheme="minorHAnsi"/>
          <w:sz w:val="22"/>
          <w:szCs w:val="22"/>
        </w:rPr>
      </w:pPr>
      <w:bookmarkStart w:id="2" w:name="_Hlk38619290"/>
      <w:r w:rsidRPr="0090786A">
        <w:rPr>
          <w:rFonts w:asciiTheme="minorHAnsi" w:hAnsiTheme="minorHAnsi" w:cstheme="minorHAnsi"/>
          <w:sz w:val="22"/>
          <w:szCs w:val="22"/>
        </w:rPr>
        <w:t xml:space="preserve">The 10 cm withdrawal </w:t>
      </w:r>
      <w:r>
        <w:rPr>
          <w:rFonts w:asciiTheme="minorHAnsi" w:hAnsiTheme="minorHAnsi" w:cstheme="minorHAnsi"/>
          <w:sz w:val="22"/>
          <w:szCs w:val="22"/>
        </w:rPr>
        <w:t xml:space="preserve">calculation presented above </w:t>
      </w:r>
      <w:r w:rsidRPr="0090786A">
        <w:rPr>
          <w:rFonts w:asciiTheme="minorHAnsi" w:hAnsiTheme="minorHAnsi" w:cstheme="minorHAnsi"/>
          <w:sz w:val="22"/>
          <w:szCs w:val="22"/>
        </w:rPr>
        <w:t xml:space="preserve">protected 100% of lakes </w:t>
      </w:r>
      <w:r>
        <w:rPr>
          <w:rFonts w:asciiTheme="minorHAnsi" w:hAnsiTheme="minorHAnsi" w:cstheme="minorHAnsi"/>
          <w:sz w:val="22"/>
          <w:szCs w:val="22"/>
        </w:rPr>
        <w:t>with an average ice-free depth exceeding 2.7 m (see Figure 1</w:t>
      </w:r>
      <w:proofErr w:type="gramStart"/>
      <w:r>
        <w:rPr>
          <w:rFonts w:asciiTheme="minorHAnsi" w:hAnsiTheme="minorHAnsi" w:cstheme="minorHAnsi"/>
          <w:sz w:val="22"/>
          <w:szCs w:val="22"/>
        </w:rPr>
        <w:t>);</w:t>
      </w:r>
      <w:proofErr w:type="gramEnd"/>
    </w:p>
    <w:bookmarkEnd w:id="2"/>
    <w:p w14:paraId="169AD379" w14:textId="77777777" w:rsidR="00E6304D" w:rsidRPr="000849E1" w:rsidRDefault="00E6304D" w:rsidP="00E6304D">
      <w:pPr>
        <w:pStyle w:val="HESLBullet"/>
        <w:numPr>
          <w:ilvl w:val="1"/>
          <w:numId w:val="3"/>
        </w:numPr>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All</w:t>
      </w:r>
      <w:r w:rsidRPr="000849E1">
        <w:rPr>
          <w:rFonts w:asciiTheme="minorHAnsi" w:eastAsiaTheme="minorHAnsi" w:hAnsiTheme="minorHAnsi" w:cstheme="minorHAnsi"/>
          <w:sz w:val="22"/>
          <w:szCs w:val="22"/>
        </w:rPr>
        <w:t xml:space="preserve"> viable waterbodies must have an average water depth under ice of ≥ 1.5 m in addition to a total average depth of ≥ 3m.</w:t>
      </w:r>
    </w:p>
    <w:p w14:paraId="4CAF8546" w14:textId="77777777" w:rsidR="00E6304D" w:rsidRPr="0090786A" w:rsidRDefault="00E6304D" w:rsidP="00E6304D">
      <w:pPr>
        <w:pStyle w:val="HESLBullet"/>
        <w:numPr>
          <w:ilvl w:val="0"/>
          <w:numId w:val="3"/>
        </w:numPr>
        <w:jc w:val="both"/>
        <w:rPr>
          <w:rFonts w:asciiTheme="minorHAnsi" w:hAnsiTheme="minorHAnsi" w:cstheme="minorHAnsi"/>
          <w:sz w:val="22"/>
          <w:szCs w:val="22"/>
        </w:rPr>
      </w:pPr>
      <w:r w:rsidRPr="0090786A">
        <w:rPr>
          <w:rFonts w:asciiTheme="minorHAnsi" w:hAnsiTheme="minorHAnsi" w:cstheme="minorHAnsi"/>
          <w:sz w:val="22"/>
          <w:szCs w:val="22"/>
        </w:rPr>
        <w:t xml:space="preserve">The </w:t>
      </w:r>
      <w:r w:rsidRPr="0072507B">
        <w:rPr>
          <w:rFonts w:asciiTheme="minorHAnsi" w:hAnsiTheme="minorHAnsi" w:cstheme="minorHAnsi"/>
          <w:sz w:val="22"/>
          <w:szCs w:val="22"/>
        </w:rPr>
        <w:t>recommended 10 cm loss in total</w:t>
      </w:r>
      <w:r w:rsidRPr="0090786A">
        <w:rPr>
          <w:rFonts w:asciiTheme="minorHAnsi" w:hAnsiTheme="minorHAnsi" w:cstheme="minorHAnsi"/>
          <w:sz w:val="22"/>
          <w:szCs w:val="22"/>
        </w:rPr>
        <w:t xml:space="preserve"> water depth represents a conservative acceptable measurement derived from the following:</w:t>
      </w:r>
    </w:p>
    <w:p w14:paraId="0498B0BD" w14:textId="77777777" w:rsidR="00E6304D" w:rsidRPr="0090786A" w:rsidRDefault="00E6304D" w:rsidP="00E6304D">
      <w:pPr>
        <w:pStyle w:val="HESLBullet"/>
        <w:numPr>
          <w:ilvl w:val="1"/>
          <w:numId w:val="3"/>
        </w:numPr>
        <w:jc w:val="both"/>
        <w:rPr>
          <w:rFonts w:asciiTheme="minorHAnsi" w:hAnsiTheme="minorHAnsi" w:cstheme="minorHAnsi"/>
          <w:sz w:val="22"/>
          <w:szCs w:val="22"/>
        </w:rPr>
      </w:pPr>
      <w:r w:rsidRPr="0090786A">
        <w:rPr>
          <w:rFonts w:asciiTheme="minorHAnsi" w:hAnsiTheme="minorHAnsi" w:cstheme="minorHAnsi"/>
          <w:sz w:val="22"/>
          <w:szCs w:val="22"/>
        </w:rPr>
        <w:t>Losses of 18 cm water depth have been demonstrated to remove approximately 10% of available under ice water volume (Golder, 2018</w:t>
      </w:r>
      <w:proofErr w:type="gramStart"/>
      <w:r w:rsidRPr="0090786A">
        <w:rPr>
          <w:rFonts w:asciiTheme="minorHAnsi" w:hAnsiTheme="minorHAnsi" w:cstheme="minorHAnsi"/>
          <w:sz w:val="22"/>
          <w:szCs w:val="22"/>
        </w:rPr>
        <w:t>);</w:t>
      </w:r>
      <w:proofErr w:type="gramEnd"/>
    </w:p>
    <w:p w14:paraId="70C1021F" w14:textId="77777777" w:rsidR="00E6304D" w:rsidRPr="0072507B" w:rsidRDefault="00E6304D" w:rsidP="00E6304D">
      <w:pPr>
        <w:pStyle w:val="HESLBullet"/>
        <w:numPr>
          <w:ilvl w:val="1"/>
          <w:numId w:val="3"/>
        </w:numPr>
        <w:jc w:val="both"/>
        <w:rPr>
          <w:rFonts w:asciiTheme="minorHAnsi" w:hAnsiTheme="minorHAnsi" w:cstheme="minorHAnsi"/>
          <w:sz w:val="22"/>
          <w:szCs w:val="22"/>
        </w:rPr>
      </w:pPr>
      <w:r>
        <w:rPr>
          <w:rFonts w:asciiTheme="minorHAnsi" w:hAnsiTheme="minorHAnsi" w:cstheme="minorHAnsi"/>
          <w:sz w:val="22"/>
          <w:szCs w:val="22"/>
        </w:rPr>
        <w:t>O</w:t>
      </w:r>
      <w:r w:rsidRPr="0090786A">
        <w:rPr>
          <w:rFonts w:asciiTheme="minorHAnsi" w:hAnsiTheme="minorHAnsi" w:cstheme="minorHAnsi"/>
          <w:sz w:val="22"/>
          <w:szCs w:val="22"/>
        </w:rPr>
        <w:t xml:space="preserve">ne standard deviation (6 cm) </w:t>
      </w:r>
      <w:r>
        <w:rPr>
          <w:rFonts w:asciiTheme="minorHAnsi" w:hAnsiTheme="minorHAnsi" w:cstheme="minorHAnsi"/>
          <w:sz w:val="22"/>
          <w:szCs w:val="22"/>
        </w:rPr>
        <w:t xml:space="preserve">was subtracted and then rounded down again (from 12 cm to 10 cm) </w:t>
      </w:r>
      <w:r w:rsidRPr="0090786A">
        <w:rPr>
          <w:rFonts w:asciiTheme="minorHAnsi" w:hAnsiTheme="minorHAnsi" w:cstheme="minorHAnsi"/>
          <w:sz w:val="22"/>
          <w:szCs w:val="22"/>
        </w:rPr>
        <w:t>as an extra degree of precaution</w:t>
      </w:r>
      <w:r>
        <w:rPr>
          <w:rFonts w:asciiTheme="minorHAnsi" w:hAnsiTheme="minorHAnsi" w:cstheme="minorHAnsi"/>
          <w:sz w:val="22"/>
          <w:szCs w:val="22"/>
        </w:rPr>
        <w:t>.</w:t>
      </w:r>
    </w:p>
    <w:p w14:paraId="377B59B2" w14:textId="77777777" w:rsidR="00E6304D" w:rsidRPr="0090786A" w:rsidRDefault="00E6304D" w:rsidP="00E6304D">
      <w:pPr>
        <w:pStyle w:val="HESLBullet"/>
        <w:numPr>
          <w:ilvl w:val="0"/>
          <w:numId w:val="3"/>
        </w:numPr>
        <w:jc w:val="both"/>
        <w:rPr>
          <w:rFonts w:asciiTheme="minorHAnsi" w:hAnsiTheme="minorHAnsi" w:cstheme="minorHAnsi"/>
          <w:sz w:val="22"/>
          <w:szCs w:val="22"/>
        </w:rPr>
      </w:pPr>
      <w:r w:rsidRPr="0090786A">
        <w:rPr>
          <w:rFonts w:asciiTheme="minorHAnsi" w:hAnsiTheme="minorHAnsi" w:cstheme="minorHAnsi"/>
          <w:sz w:val="22"/>
          <w:szCs w:val="22"/>
        </w:rPr>
        <w:t>Not all lakes will have fish; and</w:t>
      </w:r>
    </w:p>
    <w:p w14:paraId="122CD403" w14:textId="77777777" w:rsidR="00E6304D" w:rsidRPr="0090786A" w:rsidRDefault="00E6304D" w:rsidP="00E6304D">
      <w:pPr>
        <w:pStyle w:val="HESLBullet"/>
        <w:numPr>
          <w:ilvl w:val="0"/>
          <w:numId w:val="3"/>
        </w:numPr>
        <w:jc w:val="both"/>
        <w:rPr>
          <w:rFonts w:asciiTheme="minorHAnsi" w:hAnsiTheme="minorHAnsi" w:cstheme="minorHAnsi"/>
          <w:sz w:val="22"/>
          <w:szCs w:val="22"/>
        </w:rPr>
      </w:pPr>
      <w:r>
        <w:rPr>
          <w:rFonts w:asciiTheme="minorHAnsi" w:hAnsiTheme="minorHAnsi" w:cstheme="minorHAnsi"/>
          <w:sz w:val="22"/>
          <w:szCs w:val="22"/>
        </w:rPr>
        <w:t>It a</w:t>
      </w:r>
      <w:r w:rsidRPr="0090786A">
        <w:rPr>
          <w:rFonts w:asciiTheme="minorHAnsi" w:hAnsiTheme="minorHAnsi" w:cstheme="minorHAnsi"/>
          <w:sz w:val="22"/>
          <w:szCs w:val="22"/>
        </w:rPr>
        <w:t>ssumes no winter inflow to replenish lake volume and/or oxygen reserves.</w:t>
      </w:r>
    </w:p>
    <w:p w14:paraId="5CCE4277" w14:textId="77777777" w:rsidR="00E6304D" w:rsidRPr="0090786A" w:rsidRDefault="00E6304D" w:rsidP="00E6304D">
      <w:pPr>
        <w:rPr>
          <w:rFonts w:cstheme="minorHAnsi"/>
          <w:u w:val="single"/>
        </w:rPr>
      </w:pPr>
      <w:r w:rsidRPr="0090786A">
        <w:rPr>
          <w:rFonts w:cstheme="minorHAnsi"/>
          <w:u w:val="single"/>
        </w:rPr>
        <w:t>Supporting Dataset</w:t>
      </w:r>
    </w:p>
    <w:p w14:paraId="6FD8C517" w14:textId="77777777" w:rsidR="00E6304D" w:rsidRPr="00883E9A" w:rsidRDefault="00E6304D" w:rsidP="00E6304D">
      <w:pPr>
        <w:autoSpaceDE w:val="0"/>
        <w:autoSpaceDN w:val="0"/>
        <w:adjustRightInd w:val="0"/>
        <w:spacing w:after="240"/>
      </w:pPr>
      <w:r>
        <w:rPr>
          <w:rFonts w:cstheme="minorHAnsi"/>
        </w:rPr>
        <w:t xml:space="preserve">Bathymetric data sets from the </w:t>
      </w:r>
      <w:proofErr w:type="gramStart"/>
      <w:r>
        <w:rPr>
          <w:rFonts w:cstheme="minorHAnsi"/>
        </w:rPr>
        <w:t>Back River</w:t>
      </w:r>
      <w:proofErr w:type="gramEnd"/>
      <w:r>
        <w:rPr>
          <w:rFonts w:cstheme="minorHAnsi"/>
        </w:rPr>
        <w:t xml:space="preserve"> project and the Tibbitt to Contwoyto Ice Road showed </w:t>
      </w:r>
      <w:r w:rsidRPr="0090786A">
        <w:rPr>
          <w:rFonts w:cstheme="minorHAnsi"/>
        </w:rPr>
        <w:t xml:space="preserve">the conservatism of </w:t>
      </w:r>
      <w:r>
        <w:rPr>
          <w:rFonts w:cstheme="minorHAnsi"/>
        </w:rPr>
        <w:t xml:space="preserve">the </w:t>
      </w:r>
      <w:r w:rsidRPr="0090786A">
        <w:rPr>
          <w:rFonts w:cstheme="minorHAnsi"/>
        </w:rPr>
        <w:t xml:space="preserve">calculated 10 cm surface water drawdown against lakes </w:t>
      </w:r>
      <w:r>
        <w:rPr>
          <w:rFonts w:cstheme="minorHAnsi"/>
        </w:rPr>
        <w:t xml:space="preserve">with detailed bathymetry </w:t>
      </w:r>
      <w:r w:rsidRPr="0090786A">
        <w:rPr>
          <w:rFonts w:cstheme="minorHAnsi"/>
        </w:rPr>
        <w:t xml:space="preserve">with known </w:t>
      </w:r>
      <w:r>
        <w:rPr>
          <w:rFonts w:cstheme="minorHAnsi"/>
        </w:rPr>
        <w:t xml:space="preserve">under ice </w:t>
      </w:r>
      <w:r w:rsidRPr="0090786A">
        <w:rPr>
          <w:rFonts w:cstheme="minorHAnsi"/>
        </w:rPr>
        <w:t>water volumes.</w:t>
      </w:r>
      <w:r>
        <w:rPr>
          <w:rFonts w:cstheme="minorHAnsi"/>
        </w:rPr>
        <w:t xml:space="preserve"> More details on the datasets used to support this Protocol are provided in the accompanying Technical Reference Document (reference)</w:t>
      </w:r>
      <w:r>
        <w:t>.</w:t>
      </w:r>
    </w:p>
    <w:p w14:paraId="2C26FF02" w14:textId="2DA71D63" w:rsidR="00E6304D" w:rsidRPr="00FE422C" w:rsidRDefault="00E6304D" w:rsidP="00FE422C">
      <w:pPr>
        <w:jc w:val="center"/>
        <w:rPr>
          <w:rFonts w:eastAsia="Times New Roman" w:cstheme="minorHAnsi"/>
        </w:rPr>
      </w:pPr>
      <w:r w:rsidRPr="00883E9A">
        <w:rPr>
          <w:rFonts w:cstheme="minorHAnsi"/>
          <w:b/>
          <w:bCs/>
        </w:rPr>
        <w:t>Figure 1:</w:t>
      </w:r>
      <w:r>
        <w:rPr>
          <w:rFonts w:cstheme="minorHAnsi"/>
        </w:rPr>
        <w:t xml:space="preserve"> 10 cm water </w:t>
      </w:r>
      <w:r w:rsidR="00FE422C">
        <w:rPr>
          <w:rFonts w:cstheme="minorHAnsi"/>
        </w:rPr>
        <w:t>use</w:t>
      </w:r>
      <w:r>
        <w:rPr>
          <w:rFonts w:cstheme="minorHAnsi"/>
        </w:rPr>
        <w:t xml:space="preserve"> remove</w:t>
      </w:r>
      <w:r w:rsidR="00FE422C">
        <w:rPr>
          <w:rFonts w:cstheme="minorHAnsi"/>
        </w:rPr>
        <w:t>d &lt;</w:t>
      </w:r>
      <w:r>
        <w:rPr>
          <w:rFonts w:cstheme="minorHAnsi"/>
        </w:rPr>
        <w:t xml:space="preserve">10% of the under-ice volume in lakes with average depth &gt;2.7 m. </w:t>
      </w:r>
      <w:r w:rsidR="00FE422C">
        <w:rPr>
          <w:b/>
          <w:bCs/>
          <w:noProof/>
        </w:rPr>
        <w:drawing>
          <wp:inline distT="0" distB="0" distL="0" distR="0" wp14:anchorId="22E6FEC1" wp14:editId="3BE725EF">
            <wp:extent cx="2910999" cy="1752600"/>
            <wp:effectExtent l="0" t="0" r="381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hod Figure 1 (002).jpg"/>
                    <pic:cNvPicPr/>
                  </pic:nvPicPr>
                  <pic:blipFill>
                    <a:blip r:embed="rId9">
                      <a:extLst>
                        <a:ext uri="{28A0092B-C50C-407E-A947-70E740481C1C}">
                          <a14:useLocalDpi xmlns:a14="http://schemas.microsoft.com/office/drawing/2010/main" val="0"/>
                        </a:ext>
                      </a:extLst>
                    </a:blip>
                    <a:stretch>
                      <a:fillRect/>
                    </a:stretch>
                  </pic:blipFill>
                  <pic:spPr>
                    <a:xfrm>
                      <a:off x="0" y="0"/>
                      <a:ext cx="2964986" cy="1785103"/>
                    </a:xfrm>
                    <a:prstGeom prst="rect">
                      <a:avLst/>
                    </a:prstGeom>
                  </pic:spPr>
                </pic:pic>
              </a:graphicData>
            </a:graphic>
          </wp:inline>
        </w:drawing>
      </w:r>
    </w:p>
    <w:sectPr w:rsidR="00E6304D" w:rsidRPr="00FE422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524AA" w14:textId="77777777" w:rsidR="00D44832" w:rsidRDefault="00D44832" w:rsidP="00E6304D">
      <w:pPr>
        <w:spacing w:after="0" w:line="240" w:lineRule="auto"/>
      </w:pPr>
      <w:r>
        <w:separator/>
      </w:r>
    </w:p>
  </w:endnote>
  <w:endnote w:type="continuationSeparator" w:id="0">
    <w:p w14:paraId="03F50B1B" w14:textId="77777777" w:rsidR="00D44832" w:rsidRDefault="00D44832" w:rsidP="00E6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103365"/>
      <w:docPartObj>
        <w:docPartGallery w:val="Page Numbers (Bottom of Page)"/>
        <w:docPartUnique/>
      </w:docPartObj>
    </w:sdtPr>
    <w:sdtEndPr>
      <w:rPr>
        <w:noProof/>
      </w:rPr>
    </w:sdtEndPr>
    <w:sdtContent>
      <w:p w14:paraId="6E470F88" w14:textId="77977A19" w:rsidR="00E6304D" w:rsidRDefault="00E6304D">
        <w:pPr>
          <w:pStyle w:val="Footer"/>
          <w:jc w:val="right"/>
        </w:pPr>
        <w:r>
          <w:rPr>
            <w:noProof/>
            <w:szCs w:val="10"/>
            <w:lang w:eastAsia="en-CA"/>
          </w:rPr>
          <w:drawing>
            <wp:anchor distT="0" distB="0" distL="114300" distR="114300" simplePos="0" relativeHeight="251659264" behindDoc="1" locked="0" layoutInCell="1" allowOverlap="1" wp14:anchorId="76B1DD0D" wp14:editId="690B7514">
              <wp:simplePos x="0" y="0"/>
              <wp:positionH relativeFrom="page">
                <wp:align>right</wp:align>
              </wp:positionH>
              <wp:positionV relativeFrom="paragraph">
                <wp:posOffset>281305</wp:posOffset>
              </wp:positionV>
              <wp:extent cx="7705725" cy="636905"/>
              <wp:effectExtent l="0" t="0" r="9525" b="0"/>
              <wp:wrapNone/>
              <wp:docPr id="5" name="Picture 5" descr="Water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B%20-%20Swoosh%20Graphic%20-%20RGB%20-%20JPG%20-%20Aug%2029_19.jpg"/>
                      <pic:cNvPicPr/>
                    </pic:nvPicPr>
                    <pic:blipFill>
                      <a:blip r:embed="rId1">
                        <a:extLst>
                          <a:ext uri="{28A0092B-C50C-407E-A947-70E740481C1C}">
                            <a14:useLocalDpi xmlns:a14="http://schemas.microsoft.com/office/drawing/2010/main" val="0"/>
                          </a:ext>
                        </a:extLst>
                      </a:blip>
                      <a:stretch>
                        <a:fillRect/>
                      </a:stretch>
                    </pic:blipFill>
                    <pic:spPr>
                      <a:xfrm>
                        <a:off x="0" y="0"/>
                        <a:ext cx="7705725" cy="636905"/>
                      </a:xfrm>
                      <a:prstGeom prst="rect">
                        <a:avLst/>
                      </a:prstGeom>
                    </pic:spPr>
                  </pic:pic>
                </a:graphicData>
              </a:graphic>
              <wp14:sizeRelH relativeFrom="margin">
                <wp14:pctWidth>0</wp14:pctWidth>
              </wp14:sizeRelH>
              <wp14:sizeRelV relativeFrom="margin">
                <wp14:pctHeight>0</wp14:pctHeight>
              </wp14:sizeRelV>
            </wp:anchor>
          </w:drawing>
        </w:r>
      </w:p>
    </w:sdtContent>
  </w:sdt>
  <w:sdt>
    <w:sdtPr>
      <w:id w:val="-976062564"/>
      <w:docPartObj>
        <w:docPartGallery w:val="Page Numbers (Bottom of Page)"/>
        <w:docPartUnique/>
      </w:docPartObj>
    </w:sdtPr>
    <w:sdtEndPr>
      <w:rPr>
        <w:noProof/>
      </w:rPr>
    </w:sdtEndPr>
    <w:sdtContent>
      <w:p w14:paraId="2292D995" w14:textId="003EFD7B" w:rsidR="00E6304D" w:rsidRDefault="00E6304D" w:rsidP="00E6304D">
        <w:pPr>
          <w:pStyle w:val="Footer"/>
          <w:jc w:val="right"/>
          <w:rPr>
            <w:noProof/>
          </w:rPr>
        </w:pPr>
        <w:r>
          <w:fldChar w:fldCharType="begin"/>
        </w:r>
        <w:r>
          <w:instrText xml:space="preserve"> PAGE   \* MERGEFORMAT </w:instrText>
        </w:r>
        <w:r>
          <w:fldChar w:fldCharType="separate"/>
        </w:r>
        <w:r>
          <w:t>4</w:t>
        </w:r>
        <w:r>
          <w:rPr>
            <w:noProof/>
          </w:rPr>
          <w:fldChar w:fldCharType="end"/>
        </w:r>
      </w:p>
    </w:sdtContent>
  </w:sdt>
  <w:p w14:paraId="63B85D36" w14:textId="40C55B29" w:rsidR="00E6304D" w:rsidRDefault="00E6304D" w:rsidP="00E6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E28D5" w14:textId="77777777" w:rsidR="00D44832" w:rsidRDefault="00D44832" w:rsidP="00E6304D">
      <w:pPr>
        <w:spacing w:after="0" w:line="240" w:lineRule="auto"/>
      </w:pPr>
      <w:r>
        <w:separator/>
      </w:r>
    </w:p>
  </w:footnote>
  <w:footnote w:type="continuationSeparator" w:id="0">
    <w:p w14:paraId="48BA41C0" w14:textId="77777777" w:rsidR="00D44832" w:rsidRDefault="00D44832" w:rsidP="00E6304D">
      <w:pPr>
        <w:spacing w:after="0" w:line="240" w:lineRule="auto"/>
      </w:pPr>
      <w:r>
        <w:continuationSeparator/>
      </w:r>
    </w:p>
  </w:footnote>
  <w:footnote w:id="1">
    <w:p w14:paraId="3510491E" w14:textId="77777777" w:rsidR="00E6304D" w:rsidRPr="00E6304D" w:rsidRDefault="00E6304D" w:rsidP="00E6304D">
      <w:pPr>
        <w:pStyle w:val="TitlePage-title"/>
        <w:jc w:val="left"/>
        <w:rPr>
          <w:rFonts w:cstheme="minorHAnsi"/>
          <w:color w:val="auto"/>
          <w:sz w:val="17"/>
          <w:szCs w:val="17"/>
        </w:rPr>
      </w:pPr>
      <w:r w:rsidRPr="00E6304D">
        <w:rPr>
          <w:rStyle w:val="FootnoteReference"/>
          <w:rFonts w:cstheme="minorHAnsi"/>
          <w:color w:val="auto"/>
          <w:sz w:val="17"/>
          <w:szCs w:val="17"/>
        </w:rPr>
        <w:footnoteRef/>
      </w:r>
      <w:r w:rsidRPr="00E6304D">
        <w:rPr>
          <w:rFonts w:cstheme="minorHAnsi"/>
          <w:color w:val="auto"/>
          <w:sz w:val="17"/>
          <w:szCs w:val="17"/>
        </w:rPr>
        <w:t xml:space="preserve"> </w:t>
      </w:r>
      <w:r w:rsidRPr="00E6304D">
        <w:rPr>
          <w:rFonts w:cstheme="minorHAnsi"/>
          <w:color w:val="auto"/>
          <w:sz w:val="17"/>
          <w:szCs w:val="17"/>
          <w:lang w:val="en-US"/>
        </w:rPr>
        <w:t xml:space="preserve">Hutchinson Environmental Sciences Limited, 2020. </w:t>
      </w:r>
      <w:r w:rsidRPr="00E6304D">
        <w:rPr>
          <w:rFonts w:cstheme="minorHAnsi"/>
          <w:color w:val="auto"/>
          <w:sz w:val="17"/>
          <w:szCs w:val="17"/>
        </w:rPr>
        <w:t>Technical Reference Document for the Method for Determining Available Winter Water Volumes for Small-Scale Projects.</w:t>
      </w:r>
    </w:p>
    <w:p w14:paraId="4CD1C4C9" w14:textId="77777777" w:rsidR="00E6304D" w:rsidRPr="0034726D" w:rsidRDefault="00E6304D" w:rsidP="00E6304D">
      <w:pPr>
        <w:pStyle w:val="FootnoteText"/>
        <w:rPr>
          <w:lang w:val="en-US"/>
        </w:rPr>
      </w:pPr>
    </w:p>
  </w:footnote>
  <w:footnote w:id="2">
    <w:p w14:paraId="26773866" w14:textId="77777777" w:rsidR="00E6304D" w:rsidRPr="00E6304D" w:rsidRDefault="00E6304D" w:rsidP="00E6304D">
      <w:pPr>
        <w:pStyle w:val="FootnoteText"/>
        <w:rPr>
          <w:rFonts w:asciiTheme="minorHAnsi" w:hAnsiTheme="minorHAnsi" w:cstheme="minorHAnsi"/>
          <w:lang w:val="en-US"/>
        </w:rPr>
      </w:pPr>
      <w:r>
        <w:rPr>
          <w:rStyle w:val="FootnoteReference"/>
        </w:rPr>
        <w:footnoteRef/>
      </w:r>
      <w:r>
        <w:t xml:space="preserve"> </w:t>
      </w:r>
      <w:r w:rsidRPr="00E6304D">
        <w:rPr>
          <w:rFonts w:asciiTheme="minorHAnsi" w:hAnsiTheme="minorHAnsi" w:cstheme="minorHAnsi"/>
          <w:lang w:val="en-US"/>
        </w:rPr>
        <w:t xml:space="preserve">Full references available in </w:t>
      </w:r>
      <w:r w:rsidRPr="00E6304D">
        <w:rPr>
          <w:rFonts w:asciiTheme="minorHAnsi" w:hAnsiTheme="minorHAnsi" w:cstheme="minorHAnsi"/>
          <w:szCs w:val="17"/>
          <w:lang w:val="en-US"/>
        </w:rPr>
        <w:t xml:space="preserve">Hutchinson Environmental Sciences Limited, 2020. </w:t>
      </w:r>
      <w:r w:rsidRPr="00E6304D">
        <w:rPr>
          <w:rFonts w:asciiTheme="minorHAnsi" w:hAnsiTheme="minorHAnsi" w:cstheme="minorHAnsi"/>
          <w:szCs w:val="17"/>
        </w:rPr>
        <w:t>Technical Reference Document for the Method for Determining Available Winter Water Volumes for Small-Scale Projects.</w:t>
      </w:r>
    </w:p>
  </w:footnote>
  <w:footnote w:id="3">
    <w:p w14:paraId="46BB71AD" w14:textId="77777777" w:rsidR="00E6304D" w:rsidRPr="00B82678" w:rsidRDefault="00E6304D" w:rsidP="00E6304D">
      <w:pPr>
        <w:autoSpaceDE w:val="0"/>
        <w:autoSpaceDN w:val="0"/>
        <w:spacing w:line="240" w:lineRule="auto"/>
        <w:rPr>
          <w:rFonts w:cs="Arial"/>
          <w:color w:val="000000"/>
          <w:sz w:val="17"/>
          <w:szCs w:val="17"/>
        </w:rPr>
      </w:pPr>
      <w:r>
        <w:rPr>
          <w:rStyle w:val="FootnoteReference"/>
        </w:rPr>
        <w:footnoteRef/>
      </w:r>
      <w:r>
        <w:t xml:space="preserve"> </w:t>
      </w:r>
      <w:proofErr w:type="spellStart"/>
      <w:r w:rsidRPr="00B82678">
        <w:rPr>
          <w:rFonts w:cs="Arial"/>
          <w:color w:val="000000"/>
          <w:sz w:val="17"/>
          <w:szCs w:val="17"/>
        </w:rPr>
        <w:t>Cott</w:t>
      </w:r>
      <w:proofErr w:type="spellEnd"/>
      <w:r w:rsidRPr="00B82678">
        <w:rPr>
          <w:rFonts w:cs="Arial"/>
          <w:color w:val="000000"/>
          <w:sz w:val="17"/>
          <w:szCs w:val="17"/>
        </w:rPr>
        <w:t>, Peter A., Paul K. Sibley, W. Murray Somers, Michael R. Lilly, and Andrew M. Gordon, 2008. A Review of</w:t>
      </w:r>
      <w:r>
        <w:rPr>
          <w:rFonts w:cs="Arial"/>
          <w:color w:val="000000"/>
          <w:sz w:val="17"/>
          <w:szCs w:val="17"/>
        </w:rPr>
        <w:t xml:space="preserve"> </w:t>
      </w:r>
      <w:r w:rsidRPr="00B82678">
        <w:rPr>
          <w:rFonts w:cs="Arial"/>
          <w:color w:val="000000"/>
          <w:sz w:val="17"/>
          <w:szCs w:val="17"/>
        </w:rPr>
        <w:t xml:space="preserve">Water Level Fluctuations on Aquatic Biota </w:t>
      </w:r>
      <w:proofErr w:type="gramStart"/>
      <w:r w:rsidRPr="00B82678">
        <w:rPr>
          <w:rFonts w:cs="Arial"/>
          <w:color w:val="000000"/>
          <w:sz w:val="17"/>
          <w:szCs w:val="17"/>
        </w:rPr>
        <w:t>With</w:t>
      </w:r>
      <w:proofErr w:type="gramEnd"/>
      <w:r w:rsidRPr="00B82678">
        <w:rPr>
          <w:rFonts w:cs="Arial"/>
          <w:color w:val="000000"/>
          <w:sz w:val="17"/>
          <w:szCs w:val="17"/>
        </w:rPr>
        <w:t xml:space="preserve"> an Emphasis on Fishes in Ice-Covered Lakes. Journal of the</w:t>
      </w:r>
      <w:r>
        <w:rPr>
          <w:rFonts w:cs="Arial"/>
          <w:color w:val="000000"/>
          <w:sz w:val="17"/>
          <w:szCs w:val="17"/>
        </w:rPr>
        <w:t xml:space="preserve"> </w:t>
      </w:r>
      <w:r w:rsidRPr="00B82678">
        <w:rPr>
          <w:rFonts w:cs="Arial"/>
          <w:color w:val="000000"/>
          <w:sz w:val="17"/>
          <w:szCs w:val="17"/>
        </w:rPr>
        <w:t>American Water Resources Association (JAWRA) 44(2):343-359. DOI: 10.1111/j.1752-1688.2007.</w:t>
      </w:r>
      <w:proofErr w:type="gramStart"/>
      <w:r w:rsidRPr="00B82678">
        <w:rPr>
          <w:rFonts w:cs="Arial"/>
          <w:color w:val="000000"/>
          <w:sz w:val="17"/>
          <w:szCs w:val="17"/>
        </w:rPr>
        <w:t>00166.x</w:t>
      </w:r>
      <w:r>
        <w:rPr>
          <w:rFonts w:cs="Arial"/>
          <w:color w:val="000000"/>
          <w:sz w:val="17"/>
          <w:szCs w:val="17"/>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7.4pt;height:107.4pt" o:bullet="t">
        <v:imagedata r:id="rId1" o:title="HESL Rose"/>
      </v:shape>
    </w:pict>
  </w:numPicBullet>
  <w:abstractNum w:abstractNumId="0" w15:restartNumberingAfterBreak="0">
    <w:nsid w:val="2C502EBC"/>
    <w:multiLevelType w:val="hybridMultilevel"/>
    <w:tmpl w:val="FF76FC40"/>
    <w:lvl w:ilvl="0" w:tplc="C204ACD8">
      <w:start w:val="1"/>
      <w:numFmt w:val="lowerLetter"/>
      <w:lvlText w:val="%1)"/>
      <w:lvlJc w:val="left"/>
      <w:pPr>
        <w:ind w:left="720" w:hanging="360"/>
      </w:pPr>
      <w:rPr>
        <w:rFonts w:asciiTheme="minorHAnsi" w:eastAsiaTheme="minorHAnsi" w:hAnsiTheme="minorHAns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59430F"/>
    <w:multiLevelType w:val="hybridMultilevel"/>
    <w:tmpl w:val="5D8666D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991731"/>
    <w:multiLevelType w:val="hybridMultilevel"/>
    <w:tmpl w:val="73924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45414"/>
    <w:multiLevelType w:val="hybridMultilevel"/>
    <w:tmpl w:val="FA06675C"/>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953D91"/>
    <w:multiLevelType w:val="hybridMultilevel"/>
    <w:tmpl w:val="6400E49C"/>
    <w:lvl w:ilvl="0" w:tplc="5B6EFA00">
      <w:start w:val="1"/>
      <w:numFmt w:val="bullet"/>
      <w:pStyle w:val="HESLBullet"/>
      <w:lvlText w:val=""/>
      <w:lvlPicBulletId w:val="0"/>
      <w:lvlJc w:val="left"/>
      <w:pPr>
        <w:ind w:left="717" w:hanging="360"/>
      </w:pPr>
      <w:rPr>
        <w:rFonts w:ascii="Symbol" w:hAnsi="Symbol" w:hint="default"/>
        <w:b w:val="0"/>
        <w:i w:val="0"/>
        <w:strike w:val="0"/>
        <w:dstrike w:val="0"/>
        <w:color w:val="auto"/>
        <w:sz w:val="24"/>
        <w:szCs w:val="24"/>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4D"/>
    <w:rsid w:val="001B3BAE"/>
    <w:rsid w:val="00D44832"/>
    <w:rsid w:val="00D900ED"/>
    <w:rsid w:val="00E6304D"/>
    <w:rsid w:val="00E86B1A"/>
    <w:rsid w:val="00F05199"/>
    <w:rsid w:val="00FE42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4F57C"/>
  <w15:chartTrackingRefBased/>
  <w15:docId w15:val="{B63F7514-82CB-483A-8249-5440DA57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itle">
    <w:name w:val="Title Page - title"/>
    <w:basedOn w:val="Normal"/>
    <w:link w:val="TitlePage-titleChar"/>
    <w:qFormat/>
    <w:rsid w:val="00E6304D"/>
    <w:pPr>
      <w:spacing w:after="240" w:line="240" w:lineRule="auto"/>
      <w:jc w:val="center"/>
    </w:pPr>
    <w:rPr>
      <w:rFonts w:eastAsia="Times New Roman" w:cs="Arial"/>
      <w:color w:val="0C6E54"/>
      <w:sz w:val="32"/>
      <w:szCs w:val="36"/>
    </w:rPr>
  </w:style>
  <w:style w:type="character" w:customStyle="1" w:styleId="TitlePage-titleChar">
    <w:name w:val="Title Page - title Char"/>
    <w:basedOn w:val="DefaultParagraphFont"/>
    <w:link w:val="TitlePage-title"/>
    <w:rsid w:val="00E6304D"/>
    <w:rPr>
      <w:rFonts w:eastAsia="Times New Roman" w:cs="Arial"/>
      <w:color w:val="0C6E54"/>
      <w:sz w:val="32"/>
      <w:szCs w:val="36"/>
    </w:rPr>
  </w:style>
  <w:style w:type="character" w:styleId="FootnoteReference">
    <w:name w:val="footnote reference"/>
    <w:basedOn w:val="DefaultParagraphFont"/>
    <w:uiPriority w:val="99"/>
    <w:semiHidden/>
    <w:rsid w:val="00E6304D"/>
    <w:rPr>
      <w:vertAlign w:val="superscript"/>
    </w:rPr>
  </w:style>
  <w:style w:type="paragraph" w:styleId="FootnoteText">
    <w:name w:val="footnote text"/>
    <w:basedOn w:val="Normal"/>
    <w:link w:val="FootnoteTextChar"/>
    <w:uiPriority w:val="99"/>
    <w:semiHidden/>
    <w:rsid w:val="00E6304D"/>
    <w:pPr>
      <w:spacing w:before="40" w:after="0" w:line="180" w:lineRule="exact"/>
      <w:ind w:left="288" w:hanging="288"/>
      <w:jc w:val="both"/>
    </w:pPr>
    <w:rPr>
      <w:rFonts w:ascii="Arial" w:eastAsia="Times New Roman" w:hAnsi="Arial" w:cs="Times New Roman"/>
      <w:i/>
      <w:sz w:val="17"/>
      <w:szCs w:val="20"/>
    </w:rPr>
  </w:style>
  <w:style w:type="character" w:customStyle="1" w:styleId="FootnoteTextChar">
    <w:name w:val="Footnote Text Char"/>
    <w:basedOn w:val="DefaultParagraphFont"/>
    <w:link w:val="FootnoteText"/>
    <w:uiPriority w:val="99"/>
    <w:semiHidden/>
    <w:rsid w:val="00E6304D"/>
    <w:rPr>
      <w:rFonts w:ascii="Arial" w:eastAsia="Times New Roman" w:hAnsi="Arial" w:cs="Times New Roman"/>
      <w:i/>
      <w:sz w:val="17"/>
      <w:szCs w:val="20"/>
    </w:rPr>
  </w:style>
  <w:style w:type="table" w:styleId="TableGrid">
    <w:name w:val="Table Grid"/>
    <w:basedOn w:val="TableNormal"/>
    <w:rsid w:val="00E6304D"/>
    <w:pPr>
      <w:spacing w:after="0" w:line="200" w:lineRule="exact"/>
      <w:jc w:val="both"/>
    </w:pPr>
    <w:rPr>
      <w:rFonts w:ascii="Arial" w:eastAsia="Times New Roman" w:hAnsi="Arial" w:cs="Times New Roman"/>
      <w:sz w:val="20"/>
      <w:szCs w:val="20"/>
      <w:lang w:eastAsia="en-CA"/>
    </w:rPr>
    <w:tblPr>
      <w:tblCellMar>
        <w:left w:w="43" w:type="dxa"/>
        <w:right w:w="43" w:type="dxa"/>
      </w:tblCellMar>
    </w:tblPr>
  </w:style>
  <w:style w:type="paragraph" w:customStyle="1" w:styleId="HESLBullet">
    <w:name w:val="HESL Bullet"/>
    <w:basedOn w:val="Normal"/>
    <w:link w:val="HESLBulletChar"/>
    <w:qFormat/>
    <w:rsid w:val="00E6304D"/>
    <w:pPr>
      <w:numPr>
        <w:numId w:val="1"/>
      </w:numPr>
      <w:spacing w:after="240" w:line="280" w:lineRule="exact"/>
      <w:contextualSpacing/>
    </w:pPr>
    <w:rPr>
      <w:rFonts w:ascii="Arial" w:eastAsia="Times New Roman" w:hAnsi="Arial" w:cs="Arial"/>
      <w:sz w:val="20"/>
      <w:szCs w:val="20"/>
      <w:lang w:val="en-GB" w:eastAsia="en-CA"/>
    </w:rPr>
  </w:style>
  <w:style w:type="character" w:customStyle="1" w:styleId="HESLBulletChar">
    <w:name w:val="HESL Bullet Char"/>
    <w:basedOn w:val="DefaultParagraphFont"/>
    <w:link w:val="HESLBullet"/>
    <w:rsid w:val="00E6304D"/>
    <w:rPr>
      <w:rFonts w:ascii="Arial" w:eastAsia="Times New Roman" w:hAnsi="Arial" w:cs="Arial"/>
      <w:sz w:val="20"/>
      <w:szCs w:val="20"/>
      <w:lang w:val="en-GB" w:eastAsia="en-CA"/>
    </w:rPr>
  </w:style>
  <w:style w:type="paragraph" w:styleId="ListParagraph">
    <w:name w:val="List Paragraph"/>
    <w:basedOn w:val="Normal"/>
    <w:uiPriority w:val="34"/>
    <w:qFormat/>
    <w:rsid w:val="00E6304D"/>
    <w:pPr>
      <w:spacing w:after="0" w:line="280" w:lineRule="exact"/>
      <w:ind w:left="720"/>
      <w:contextualSpacing/>
      <w:jc w:val="both"/>
    </w:pPr>
    <w:rPr>
      <w:rFonts w:ascii="Arial" w:eastAsia="Times New Roman" w:hAnsi="Arial" w:cs="Times New Roman"/>
      <w:sz w:val="20"/>
      <w:szCs w:val="20"/>
    </w:rPr>
  </w:style>
  <w:style w:type="paragraph" w:styleId="Header">
    <w:name w:val="header"/>
    <w:basedOn w:val="Normal"/>
    <w:link w:val="HeaderChar"/>
    <w:uiPriority w:val="99"/>
    <w:unhideWhenUsed/>
    <w:rsid w:val="00E6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4D"/>
  </w:style>
  <w:style w:type="paragraph" w:styleId="Footer">
    <w:name w:val="footer"/>
    <w:basedOn w:val="Normal"/>
    <w:link w:val="FooterChar"/>
    <w:uiPriority w:val="99"/>
    <w:unhideWhenUsed/>
    <w:rsid w:val="00E6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Shalyn Norrish</dc:creator>
  <cp:keywords/>
  <dc:description/>
  <cp:lastModifiedBy>Shalyn Norrish</cp:lastModifiedBy>
  <cp:revision>2</cp:revision>
  <dcterms:created xsi:type="dcterms:W3CDTF">2020-04-30T18:32:00Z</dcterms:created>
  <dcterms:modified xsi:type="dcterms:W3CDTF">2020-04-30T18:32:00Z</dcterms:modified>
</cp:coreProperties>
</file>